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8D54" w14:textId="77777777" w:rsidR="002B0869" w:rsidRDefault="002B0869" w:rsidP="007A56F0"/>
    <w:p w14:paraId="773A9546" w14:textId="160705CD" w:rsidR="002B0869" w:rsidRDefault="002B0869">
      <w:pPr>
        <w:spacing w:before="0" w:after="160" w:line="259" w:lineRule="auto"/>
        <w:jc w:val="left"/>
      </w:pPr>
      <w:r>
        <w:rPr>
          <w:rFonts w:ascii="GalanoGrotesque-Bold" w:eastAsia="Calibri" w:hAnsi="GalanoGrotesque-Bold" w:cs="Times New Roman"/>
          <w:b/>
          <w:noProof/>
          <w:color w:val="000000"/>
          <w:sz w:val="32"/>
          <w:szCs w:val="32"/>
          <w:lang w:val="es-MX" w:eastAsia="es-MX"/>
        </w:rPr>
        <w:drawing>
          <wp:inline distT="0" distB="0" distL="0" distR="0" wp14:anchorId="267657D9" wp14:editId="44CFDB8E">
            <wp:extent cx="5612130" cy="72603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60315"/>
                    </a:xfrm>
                    <a:prstGeom prst="rect">
                      <a:avLst/>
                    </a:prstGeom>
                    <a:noFill/>
                  </pic:spPr>
                </pic:pic>
              </a:graphicData>
            </a:graphic>
          </wp:inline>
        </w:drawing>
      </w:r>
      <w:r>
        <w:br w:type="page"/>
      </w:r>
    </w:p>
    <w:p w14:paraId="024CCA94" w14:textId="77777777" w:rsidR="002B0869" w:rsidRPr="00995380" w:rsidRDefault="002B0869" w:rsidP="002B0869">
      <w:pPr>
        <w:rPr>
          <w:rFonts w:ascii="GalanoGrotesque-Bold" w:eastAsia="Calibri" w:hAnsi="GalanoGrotesque-Bold" w:cs="Times New Roman"/>
          <w:b/>
          <w:color w:val="000000"/>
          <w:sz w:val="32"/>
          <w:szCs w:val="32"/>
        </w:rPr>
      </w:pPr>
      <w:r w:rsidRPr="004F06F2">
        <w:rPr>
          <w:rFonts w:eastAsia="Times New Roman" w:cs="Times New Roman"/>
          <w:b/>
          <w:sz w:val="26"/>
          <w:szCs w:val="22"/>
        </w:rPr>
        <w:lastRenderedPageBreak/>
        <w:t>1.8 NOTAS A LOS ESTADOS FINANCIEROS</w:t>
      </w:r>
    </w:p>
    <w:p w14:paraId="57044FFA" w14:textId="77777777" w:rsidR="002B0869" w:rsidRPr="004F06F2" w:rsidRDefault="002B0869" w:rsidP="002B0869">
      <w:pPr>
        <w:spacing w:before="0" w:after="0"/>
        <w:rPr>
          <w:rFonts w:eastAsia="Calibri" w:cs="Times New Roman"/>
          <w:bCs/>
          <w:color w:val="000000"/>
          <w:sz w:val="22"/>
          <w:szCs w:val="22"/>
        </w:rPr>
      </w:pPr>
    </w:p>
    <w:p w14:paraId="5B7D1D36" w14:textId="77777777" w:rsidR="002B0869" w:rsidRPr="004F06F2" w:rsidRDefault="002B0869" w:rsidP="002B0869">
      <w:pPr>
        <w:spacing w:before="0" w:after="0"/>
        <w:rPr>
          <w:rFonts w:eastAsia="Calibri" w:cs="Times New Roman"/>
          <w:bCs/>
          <w:color w:val="000000"/>
          <w:sz w:val="22"/>
          <w:szCs w:val="22"/>
        </w:rPr>
      </w:pPr>
      <w:r w:rsidRPr="004F06F2">
        <w:rPr>
          <w:rFonts w:eastAsia="Calibri" w:cs="Times New Roman"/>
          <w:bCs/>
          <w:color w:val="000000"/>
          <w:sz w:val="22"/>
          <w:szCs w:val="22"/>
        </w:rPr>
        <w:t xml:space="preserve">Las notas que se adjuntan al presente informe, son parte integrante de los estados financieros, correspondientes al </w:t>
      </w:r>
      <w:r>
        <w:rPr>
          <w:rFonts w:eastAsia="Calibri" w:cs="Times New Roman"/>
          <w:bCs/>
          <w:color w:val="000000"/>
          <w:sz w:val="22"/>
          <w:szCs w:val="22"/>
        </w:rPr>
        <w:t>Segundo</w:t>
      </w:r>
      <w:r w:rsidRPr="004F06F2">
        <w:rPr>
          <w:rFonts w:eastAsia="Calibri" w:cs="Times New Roman"/>
          <w:bCs/>
          <w:color w:val="000000"/>
          <w:sz w:val="22"/>
          <w:szCs w:val="22"/>
        </w:rPr>
        <w:t xml:space="preserve"> Trimestre del ejercicio fiscal 202</w:t>
      </w:r>
      <w:r>
        <w:rPr>
          <w:rFonts w:eastAsia="Calibri" w:cs="Times New Roman"/>
          <w:bCs/>
          <w:color w:val="000000"/>
          <w:sz w:val="22"/>
          <w:szCs w:val="22"/>
        </w:rPr>
        <w:t>5</w:t>
      </w:r>
      <w:r w:rsidRPr="004F06F2">
        <w:rPr>
          <w:rFonts w:eastAsia="Calibri" w:cs="Times New Roman"/>
          <w:bCs/>
          <w:color w:val="000000"/>
          <w:sz w:val="22"/>
          <w:szCs w:val="22"/>
        </w:rPr>
        <w:t xml:space="preserve">; las cuales, tienen como propósito aclarar o detallar la información y cifras en los mismos, y se presentan </w:t>
      </w:r>
      <w:r w:rsidRPr="004F06F2">
        <w:rPr>
          <w:rFonts w:eastAsia="Calibri" w:cs="Times New Roman"/>
          <w:sz w:val="22"/>
          <w:szCs w:val="22"/>
        </w:rPr>
        <w:t>en cumplimiento de los artículos 47 y 49 de la Ley General de Contabilidad Gubernamental</w:t>
      </w:r>
      <w:r w:rsidRPr="004F06F2">
        <w:rPr>
          <w:rFonts w:eastAsia="Calibri" w:cs="Times New Roman"/>
          <w:bCs/>
          <w:color w:val="000000"/>
          <w:sz w:val="22"/>
          <w:szCs w:val="22"/>
        </w:rPr>
        <w:t xml:space="preserve"> y del </w:t>
      </w:r>
      <w:bookmarkStart w:id="0" w:name="_Hlk166236541"/>
      <w:r w:rsidRPr="004F06F2">
        <w:rPr>
          <w:rFonts w:eastAsia="Calibri" w:cs="Times New Roman"/>
          <w:bCs/>
          <w:color w:val="000000"/>
          <w:sz w:val="22"/>
          <w:szCs w:val="22"/>
        </w:rPr>
        <w:t>Acuerdo que reforma los Capítulos III y VII del Manual de Contabilidad Gubernamental, publicado en el Diario Oficial de la Federación del 27 de septiembre de 2018, 23 de diciembre del 2020 y 6 de diciembre de 2022, respectivamente.</w:t>
      </w:r>
      <w:bookmarkEnd w:id="0"/>
    </w:p>
    <w:p w14:paraId="69D686F8" w14:textId="77777777" w:rsidR="002B0869" w:rsidRPr="004F06F2" w:rsidRDefault="002B0869" w:rsidP="002B0869">
      <w:pPr>
        <w:spacing w:before="0" w:after="0"/>
        <w:rPr>
          <w:rFonts w:eastAsia="Calibri" w:cs="Times New Roman"/>
          <w:bCs/>
          <w:color w:val="000000"/>
          <w:sz w:val="22"/>
          <w:szCs w:val="22"/>
        </w:rPr>
      </w:pPr>
    </w:p>
    <w:p w14:paraId="6604B694" w14:textId="77777777" w:rsidR="002B0869" w:rsidRPr="004F06F2" w:rsidRDefault="002B0869" w:rsidP="002B0869">
      <w:pPr>
        <w:spacing w:before="0" w:after="0"/>
        <w:rPr>
          <w:rFonts w:eastAsia="Calibri" w:cs="Times New Roman"/>
          <w:bCs/>
          <w:color w:val="000000"/>
          <w:sz w:val="22"/>
          <w:szCs w:val="22"/>
        </w:rPr>
      </w:pPr>
      <w:r w:rsidRPr="004F06F2">
        <w:rPr>
          <w:rFonts w:eastAsia="Calibri" w:cs="Times New Roman"/>
          <w:bCs/>
          <w:color w:val="000000"/>
          <w:sz w:val="22"/>
          <w:szCs w:val="22"/>
        </w:rPr>
        <w:t>Algunas de las cifras, están sujetas al programa de depuración iniciado con motivo de la implementación de la armonización de la contabilidad en el Estado y de acuerdo con lo establecido en la Ley General de Contabilidad Gubernamental.</w:t>
      </w:r>
    </w:p>
    <w:p w14:paraId="5DDD277A" w14:textId="77777777" w:rsidR="002B0869" w:rsidRPr="004F06F2" w:rsidRDefault="002B0869" w:rsidP="002B0869">
      <w:pPr>
        <w:spacing w:before="0" w:after="0"/>
        <w:rPr>
          <w:rFonts w:eastAsia="Calibri" w:cs="Times New Roman"/>
          <w:bCs/>
          <w:color w:val="000000"/>
          <w:sz w:val="22"/>
          <w:szCs w:val="22"/>
        </w:rPr>
      </w:pPr>
    </w:p>
    <w:p w14:paraId="084059C0" w14:textId="77777777" w:rsidR="002B0869" w:rsidRPr="004F06F2" w:rsidRDefault="002B0869" w:rsidP="002B0869">
      <w:pPr>
        <w:spacing w:before="0" w:after="0"/>
        <w:rPr>
          <w:rFonts w:eastAsia="Calibri" w:cs="Times New Roman"/>
          <w:bCs/>
          <w:color w:val="000000"/>
          <w:sz w:val="22"/>
          <w:szCs w:val="22"/>
        </w:rPr>
      </w:pPr>
      <w:r w:rsidRPr="004F06F2">
        <w:rPr>
          <w:rFonts w:eastAsia="Calibri" w:cs="Times New Roman"/>
          <w:bCs/>
          <w:color w:val="000000"/>
          <w:sz w:val="22"/>
          <w:szCs w:val="22"/>
        </w:rPr>
        <w:t>De conformidad con la citada Ley, así como con la normativa emitida por el Consejo Nacional de Armonización Contable, a continuación, se presentan las notas que acompañan a los estados financieros, a saber:</w:t>
      </w:r>
    </w:p>
    <w:p w14:paraId="27BFD9D7" w14:textId="77777777" w:rsidR="002B0869" w:rsidRPr="004F06F2" w:rsidRDefault="002B0869" w:rsidP="002B0869">
      <w:pPr>
        <w:spacing w:before="0" w:after="0"/>
        <w:rPr>
          <w:rFonts w:eastAsia="Calibri" w:cs="Times New Roman"/>
          <w:bCs/>
          <w:color w:val="000000"/>
          <w:sz w:val="22"/>
          <w:szCs w:val="22"/>
        </w:rPr>
      </w:pPr>
    </w:p>
    <w:p w14:paraId="0614E4B3" w14:textId="77777777" w:rsidR="002B0869" w:rsidRPr="004F06F2" w:rsidRDefault="002B0869" w:rsidP="002B0869">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Notas de gestión administrativa </w:t>
      </w:r>
    </w:p>
    <w:p w14:paraId="6A966777" w14:textId="77777777" w:rsidR="002B0869" w:rsidRPr="004F06F2" w:rsidRDefault="002B0869" w:rsidP="002B0869">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desglose, y</w:t>
      </w:r>
    </w:p>
    <w:p w14:paraId="270C222A" w14:textId="77777777" w:rsidR="002B0869" w:rsidRPr="004F06F2" w:rsidRDefault="002B0869" w:rsidP="002B0869">
      <w:pPr>
        <w:numPr>
          <w:ilvl w:val="0"/>
          <w:numId w:val="3"/>
        </w:numPr>
        <w:spacing w:before="0" w:after="0"/>
        <w:ind w:left="709"/>
        <w:jc w:val="left"/>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Notas de memoria.</w:t>
      </w:r>
    </w:p>
    <w:p w14:paraId="1787683F" w14:textId="77777777" w:rsidR="002B0869" w:rsidRPr="004F06F2" w:rsidRDefault="002B0869" w:rsidP="002B0869">
      <w:pPr>
        <w:spacing w:before="0" w:after="0"/>
        <w:jc w:val="center"/>
        <w:rPr>
          <w:rFonts w:eastAsia="Calibri" w:cs="Times New Roman"/>
          <w:b/>
          <w:sz w:val="22"/>
          <w:szCs w:val="22"/>
        </w:rPr>
      </w:pPr>
    </w:p>
    <w:p w14:paraId="40B6FB33" w14:textId="77777777" w:rsidR="002B0869" w:rsidRPr="004F06F2" w:rsidRDefault="002B0869" w:rsidP="002B0869">
      <w:pPr>
        <w:rPr>
          <w:rFonts w:eastAsia="Calibri" w:cs="Times New Roman"/>
          <w:b/>
        </w:rPr>
      </w:pPr>
      <w:r w:rsidRPr="004F06F2">
        <w:rPr>
          <w:rFonts w:eastAsia="Calibri" w:cs="Times New Roman"/>
          <w:b/>
        </w:rPr>
        <w:br w:type="page"/>
      </w:r>
    </w:p>
    <w:p w14:paraId="46CFA3DA" w14:textId="77777777" w:rsidR="002B0869" w:rsidRPr="004F06F2" w:rsidRDefault="002B0869" w:rsidP="002B0869">
      <w:pPr>
        <w:spacing w:before="0" w:after="0"/>
        <w:jc w:val="center"/>
        <w:rPr>
          <w:rFonts w:eastAsia="Calibri" w:cs="Times New Roman"/>
          <w:b/>
          <w:sz w:val="28"/>
          <w:szCs w:val="28"/>
        </w:rPr>
      </w:pPr>
      <w:r>
        <w:rPr>
          <w:rFonts w:eastAsia="Calibri" w:cs="Times New Roman"/>
          <w:b/>
          <w:sz w:val="28"/>
          <w:szCs w:val="28"/>
        </w:rPr>
        <w:lastRenderedPageBreak/>
        <w:t>a</w:t>
      </w:r>
      <w:r w:rsidRPr="004F06F2">
        <w:rPr>
          <w:rFonts w:eastAsia="Calibri" w:cs="Times New Roman"/>
          <w:b/>
          <w:sz w:val="28"/>
          <w:szCs w:val="28"/>
        </w:rPr>
        <w:t>) NOTAS DE GESTIÓN ADMINISTRATIVA</w:t>
      </w:r>
    </w:p>
    <w:p w14:paraId="26CDB13F" w14:textId="77777777" w:rsidR="002B0869" w:rsidRPr="004F06F2" w:rsidRDefault="002B0869" w:rsidP="002B0869">
      <w:pPr>
        <w:spacing w:before="0" w:after="0"/>
        <w:rPr>
          <w:rFonts w:ascii="GalanoGrotesque-ExtraLight" w:eastAsia="Calibri" w:hAnsi="GalanoGrotesque-ExtraLight" w:cs="Times New Roman"/>
          <w:b/>
          <w:sz w:val="22"/>
          <w:szCs w:val="22"/>
        </w:rPr>
      </w:pPr>
    </w:p>
    <w:p w14:paraId="3C158991" w14:textId="77777777" w:rsidR="002B0869" w:rsidRPr="004F06F2" w:rsidRDefault="002B0869" w:rsidP="002B0869">
      <w:pPr>
        <w:spacing w:before="0" w:after="0"/>
        <w:rPr>
          <w:rFonts w:eastAsia="Calibri" w:cs="Times New Roman"/>
          <w:b/>
          <w:bCs/>
          <w:sz w:val="22"/>
          <w:szCs w:val="22"/>
        </w:rPr>
      </w:pPr>
      <w:r w:rsidRPr="004F06F2">
        <w:rPr>
          <w:rFonts w:eastAsia="Calibri" w:cs="Times New Roman"/>
          <w:b/>
          <w:bCs/>
          <w:sz w:val="22"/>
          <w:szCs w:val="22"/>
        </w:rPr>
        <w:t>Introducción</w:t>
      </w:r>
    </w:p>
    <w:p w14:paraId="214B44B0" w14:textId="77777777" w:rsidR="002B0869" w:rsidRPr="004F06F2" w:rsidRDefault="002B0869" w:rsidP="002B0869">
      <w:pPr>
        <w:spacing w:before="0" w:after="0"/>
        <w:jc w:val="left"/>
        <w:rPr>
          <w:rFonts w:eastAsia="Calibri" w:cs="Times New Roman"/>
          <w:sz w:val="22"/>
          <w:szCs w:val="22"/>
        </w:rPr>
      </w:pPr>
    </w:p>
    <w:p w14:paraId="5F96D293" w14:textId="77777777" w:rsidR="002B0869" w:rsidRPr="004F06F2" w:rsidRDefault="002B0869" w:rsidP="002B0869">
      <w:pPr>
        <w:spacing w:after="0"/>
        <w:rPr>
          <w:rFonts w:eastAsia="Calibri" w:cs="Times New Roman"/>
        </w:rPr>
      </w:pPr>
      <w:r w:rsidRPr="004F06F2">
        <w:rPr>
          <w:rFonts w:eastAsia="Calibri" w:cs="Times New Roman"/>
          <w:sz w:val="22"/>
          <w:szCs w:val="22"/>
        </w:rPr>
        <w:t xml:space="preserve">Los Estados Financieros de los entes públicos, proveen de información financiera a los principales usuarios de la misma, entre ellos está el H. Congreso del Estado de Michoacán, así como la ciudadanía en general que demanda información sobre la situación contable del Poder Ejecutivo. </w:t>
      </w:r>
    </w:p>
    <w:p w14:paraId="38194BE9" w14:textId="77777777" w:rsidR="002B0869" w:rsidRPr="004F06F2" w:rsidRDefault="002B0869" w:rsidP="002B0869">
      <w:pPr>
        <w:spacing w:after="0"/>
        <w:rPr>
          <w:rFonts w:eastAsia="Calibri" w:cs="Times New Roman"/>
          <w:sz w:val="22"/>
          <w:szCs w:val="22"/>
        </w:rPr>
      </w:pPr>
    </w:p>
    <w:p w14:paraId="3D8202CF" w14:textId="77777777" w:rsidR="002B0869" w:rsidRPr="004F06F2" w:rsidRDefault="002B0869" w:rsidP="002B0869">
      <w:pPr>
        <w:spacing w:after="0"/>
        <w:rPr>
          <w:rFonts w:eastAsia="Calibri" w:cs="Times New Roman"/>
        </w:rPr>
      </w:pPr>
      <w:r w:rsidRPr="004F06F2">
        <w:rPr>
          <w:rFonts w:eastAsia="Calibri" w:cs="Times New Roman"/>
          <w:sz w:val="22"/>
          <w:szCs w:val="22"/>
        </w:rPr>
        <w:t xml:space="preserve">El objetivo del presente documento es la revelación del contexto y de los aspectos económicos financieros más relevantes que influyeron en las decisiones del período, que comprende del 1 de </w:t>
      </w:r>
      <w:r>
        <w:rPr>
          <w:rFonts w:eastAsia="Calibri" w:cs="Times New Roman"/>
          <w:sz w:val="22"/>
          <w:szCs w:val="22"/>
        </w:rPr>
        <w:t>enero</w:t>
      </w:r>
      <w:r w:rsidRPr="004F06F2">
        <w:rPr>
          <w:rFonts w:eastAsia="Calibri" w:cs="Times New Roman"/>
          <w:sz w:val="22"/>
          <w:szCs w:val="22"/>
        </w:rPr>
        <w:t xml:space="preserve"> al 3</w:t>
      </w:r>
      <w:r>
        <w:rPr>
          <w:rFonts w:eastAsia="Calibri" w:cs="Times New Roman"/>
          <w:sz w:val="22"/>
          <w:szCs w:val="22"/>
        </w:rPr>
        <w:t>0</w:t>
      </w:r>
      <w:r w:rsidRPr="004F06F2">
        <w:rPr>
          <w:rFonts w:eastAsia="Calibri" w:cs="Times New Roman"/>
          <w:sz w:val="22"/>
          <w:szCs w:val="22"/>
        </w:rPr>
        <w:t xml:space="preserve"> de </w:t>
      </w:r>
      <w:r>
        <w:rPr>
          <w:rFonts w:eastAsia="Calibri" w:cs="Times New Roman"/>
          <w:sz w:val="22"/>
          <w:szCs w:val="22"/>
        </w:rPr>
        <w:t>junio</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 xml:space="preserve">, y que se consideraron en la elaboración de los Estados Financieros para la mayor comprensión de los mismos y sus particularidades. </w:t>
      </w:r>
    </w:p>
    <w:p w14:paraId="3FB29EE2" w14:textId="77777777" w:rsidR="002B0869" w:rsidRPr="004F06F2" w:rsidRDefault="002B0869" w:rsidP="002B0869">
      <w:pPr>
        <w:spacing w:after="0"/>
        <w:rPr>
          <w:rFonts w:eastAsia="Calibri" w:cs="Times New Roman"/>
          <w:sz w:val="22"/>
          <w:szCs w:val="22"/>
        </w:rPr>
      </w:pPr>
    </w:p>
    <w:p w14:paraId="42861C38" w14:textId="77777777" w:rsidR="002B0869" w:rsidRPr="004F06F2" w:rsidRDefault="002B0869" w:rsidP="002B0869">
      <w:pPr>
        <w:spacing w:after="0"/>
        <w:rPr>
          <w:rFonts w:eastAsia="Calibri" w:cs="Times New Roman"/>
        </w:rPr>
      </w:pPr>
      <w:r w:rsidRPr="004F06F2">
        <w:rPr>
          <w:rFonts w:eastAsia="Calibri" w:cs="Times New Roman"/>
          <w:sz w:val="22"/>
          <w:szCs w:val="22"/>
        </w:rPr>
        <w:t>De esta manera, se informa y explica la respuesta del gobierno a las condiciones relacionadas con la información financiera del período de gestión; además, de exponer aquellas políticas que podrían afectar la toma de decisiones en períodos posteriores.</w:t>
      </w:r>
    </w:p>
    <w:p w14:paraId="2DF55B33" w14:textId="77777777" w:rsidR="002B0869" w:rsidRPr="004F06F2" w:rsidRDefault="002B0869" w:rsidP="002B0869">
      <w:pPr>
        <w:spacing w:before="0" w:after="0"/>
        <w:jc w:val="left"/>
        <w:rPr>
          <w:rFonts w:eastAsia="Calibri" w:cs="Times New Roman"/>
          <w:sz w:val="22"/>
          <w:szCs w:val="22"/>
        </w:rPr>
      </w:pPr>
    </w:p>
    <w:p w14:paraId="38B8789D"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Los Estados Financieros del Poder Ejecutivo, se integran con la información que resulta de las operaciones derivadas de la recaudación de ingresos presupuestarios, del ejercicio del gasto público, la colocación y amo</w:t>
      </w:r>
      <w:r>
        <w:rPr>
          <w:rFonts w:eastAsia="Calibri" w:cs="Times New Roman"/>
          <w:sz w:val="22"/>
          <w:szCs w:val="22"/>
        </w:rPr>
        <w:t>rtización de la deuda pública -</w:t>
      </w:r>
      <w:r w:rsidRPr="004F06F2">
        <w:rPr>
          <w:rFonts w:eastAsia="Calibri" w:cs="Times New Roman"/>
          <w:sz w:val="22"/>
          <w:szCs w:val="22"/>
        </w:rPr>
        <w:t xml:space="preserve">incluyendo los gastos por los intereses y comisiones correspondientes-, el manejo y custodia de los recursos propiedad del Poder Ejecutivo o a su cuidado, así como todas aquellas operaciones contables que modifiquen el Patrimonio, considerando en su registro contable las características administrativas descentralizadas. </w:t>
      </w:r>
    </w:p>
    <w:p w14:paraId="17F7E4A5" w14:textId="77777777" w:rsidR="002B0869" w:rsidRPr="004F06F2" w:rsidRDefault="002B0869" w:rsidP="002B0869">
      <w:pPr>
        <w:spacing w:before="0" w:after="0"/>
        <w:rPr>
          <w:rFonts w:eastAsia="Calibri" w:cs="Times New Roman"/>
          <w:sz w:val="22"/>
          <w:szCs w:val="22"/>
        </w:rPr>
      </w:pPr>
    </w:p>
    <w:p w14:paraId="1C0B5DF8"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En este contexto, en la normativa aplicable se establecen registros que permiten identificar la interrelación de las operaciones.</w:t>
      </w:r>
    </w:p>
    <w:p w14:paraId="05457819" w14:textId="77777777" w:rsidR="002B0869" w:rsidRPr="004F06F2" w:rsidRDefault="002B0869" w:rsidP="002B0869">
      <w:pPr>
        <w:spacing w:before="0" w:after="0"/>
        <w:rPr>
          <w:rFonts w:eastAsia="Calibri" w:cs="Times New Roman"/>
          <w:sz w:val="22"/>
          <w:szCs w:val="22"/>
        </w:rPr>
      </w:pPr>
    </w:p>
    <w:p w14:paraId="551D0B62"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1.</w:t>
      </w:r>
      <w:r w:rsidRPr="004F06F2">
        <w:rPr>
          <w:rFonts w:eastAsia="Calibri" w:cs="Times New Roman"/>
          <w:b/>
          <w:sz w:val="22"/>
          <w:szCs w:val="22"/>
        </w:rPr>
        <w:tab/>
        <w:t>Autorización e Historia</w:t>
      </w:r>
    </w:p>
    <w:p w14:paraId="564A8033"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a) Fecha de creación:</w:t>
      </w:r>
    </w:p>
    <w:p w14:paraId="0324F6F4" w14:textId="77777777" w:rsidR="002B0869" w:rsidRPr="004F06F2" w:rsidRDefault="002B0869" w:rsidP="002B0869">
      <w:pPr>
        <w:rPr>
          <w:sz w:val="22"/>
          <w:szCs w:val="22"/>
        </w:rPr>
      </w:pPr>
      <w:r w:rsidRPr="004F06F2">
        <w:rPr>
          <w:sz w:val="22"/>
          <w:szCs w:val="22"/>
        </w:rPr>
        <w:t>Se creó el Estado Libre y Soberano de Michoacán, al expedirse el Acta Constitutiva de la Federación Mexicana, el 31 de enero de 1824, por decreto de la Cámara Constituyente de la Nación. El 6 de abril del mismo año, se instaló el Congreso Local Constituyente El Estado fue dividido en 4 departamentos y 22 partidos, por decreto de la Ley Territorial de 1825, y el 19 de julio, se contó con su primera Constitución Política.</w:t>
      </w:r>
    </w:p>
    <w:p w14:paraId="3C229AA0" w14:textId="77777777" w:rsidR="002B0869" w:rsidRPr="004F06F2" w:rsidRDefault="002B0869" w:rsidP="002B0869">
      <w:pPr>
        <w:spacing w:before="0" w:after="0"/>
        <w:rPr>
          <w:sz w:val="22"/>
          <w:szCs w:val="22"/>
        </w:rPr>
      </w:pPr>
    </w:p>
    <w:p w14:paraId="1692B782" w14:textId="77777777" w:rsidR="002B0869" w:rsidRPr="004F06F2" w:rsidRDefault="002B0869" w:rsidP="002B0869">
      <w:pPr>
        <w:spacing w:before="0" w:after="0"/>
        <w:rPr>
          <w:sz w:val="22"/>
          <w:szCs w:val="22"/>
        </w:rPr>
      </w:pPr>
      <w:r w:rsidRPr="004F06F2">
        <w:rPr>
          <w:sz w:val="22"/>
          <w:szCs w:val="22"/>
        </w:rPr>
        <w:t>El día 08 de octubre de 2021 se publica en el Periódico Oficial del Estado la Ley Orgánica de la Administración Pública del Estado de Michoacán de Ocampo.</w:t>
      </w:r>
    </w:p>
    <w:p w14:paraId="1596B65E" w14:textId="77777777" w:rsidR="002B0869" w:rsidRPr="004F06F2" w:rsidRDefault="002B0869" w:rsidP="002B0869">
      <w:pPr>
        <w:spacing w:before="0" w:after="0"/>
        <w:rPr>
          <w:sz w:val="22"/>
          <w:szCs w:val="22"/>
        </w:rPr>
      </w:pPr>
    </w:p>
    <w:p w14:paraId="51DEFA35" w14:textId="77777777" w:rsidR="002B0869" w:rsidRPr="004F06F2" w:rsidRDefault="002B0869" w:rsidP="002B0869">
      <w:pPr>
        <w:spacing w:before="0" w:after="0"/>
        <w:rPr>
          <w:sz w:val="22"/>
          <w:szCs w:val="22"/>
        </w:rPr>
      </w:pPr>
      <w:r w:rsidRPr="004F06F2">
        <w:rPr>
          <w:sz w:val="22"/>
          <w:szCs w:val="22"/>
        </w:rPr>
        <w:t>Actualmente, el Estado comprende 113 Municipios, con autonomía en cuanto a su gobierno interno.</w:t>
      </w:r>
    </w:p>
    <w:p w14:paraId="723196B9" w14:textId="77777777" w:rsidR="002B0869" w:rsidRPr="004F06F2" w:rsidRDefault="002B0869" w:rsidP="002B0869">
      <w:pPr>
        <w:spacing w:before="0" w:after="0"/>
        <w:rPr>
          <w:sz w:val="22"/>
          <w:szCs w:val="22"/>
        </w:rPr>
      </w:pPr>
    </w:p>
    <w:p w14:paraId="73701E61" w14:textId="77777777" w:rsidR="002B0869" w:rsidRPr="004F06F2" w:rsidRDefault="002B0869" w:rsidP="002B0869">
      <w:pPr>
        <w:spacing w:before="0" w:after="0"/>
        <w:rPr>
          <w:sz w:val="22"/>
          <w:szCs w:val="22"/>
        </w:rPr>
      </w:pPr>
      <w:r w:rsidRPr="004F06F2">
        <w:rPr>
          <w:sz w:val="22"/>
          <w:szCs w:val="22"/>
        </w:rPr>
        <w:t>El despacho de los asuntos que competen al Gobernador del Estado, se realiza a través de las dependencias y entidades de la Administración Pública Estatal, conforme a la Constitución Política del Estado Libre y Soberano de Michoacán de Ocampo y las leyes que de ella emanen, de acuerdo con el Presupuesto de Egresos del Estado.</w:t>
      </w:r>
    </w:p>
    <w:p w14:paraId="2F4A7416" w14:textId="77777777" w:rsidR="002B0869" w:rsidRPr="004F06F2" w:rsidRDefault="002B0869" w:rsidP="002B0869">
      <w:pPr>
        <w:spacing w:before="0" w:after="0"/>
        <w:rPr>
          <w:sz w:val="22"/>
          <w:szCs w:val="22"/>
        </w:rPr>
      </w:pPr>
    </w:p>
    <w:p w14:paraId="56544BC7"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b) Principales cambios en su estructura:</w:t>
      </w:r>
    </w:p>
    <w:p w14:paraId="7AEBFEAF" w14:textId="77777777" w:rsidR="002B0869" w:rsidRPr="004F06F2" w:rsidRDefault="002B0869" w:rsidP="002B0869">
      <w:pPr>
        <w:spacing w:before="0" w:after="0"/>
        <w:rPr>
          <w:rFonts w:eastAsia="Calibri" w:cs="Times New Roman"/>
          <w:sz w:val="22"/>
          <w:szCs w:val="22"/>
        </w:rPr>
      </w:pPr>
    </w:p>
    <w:p w14:paraId="4A968745"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Con fecha 25 de septiembre de 2023, se publicó la última reforma a la Ley Orgánica de la Administración Pública del Estado de Michoacán de Ocampo en la cual, se realizaron cambios sustanciales a las dependencias del Ejecutivo Estatal, atendiendo a criterios de austeridad y eficiencia en el gasto público.</w:t>
      </w:r>
    </w:p>
    <w:p w14:paraId="0BD03A1C" w14:textId="77777777" w:rsidR="002B0869" w:rsidRPr="004F06F2" w:rsidRDefault="002B0869" w:rsidP="002B0869">
      <w:pPr>
        <w:spacing w:before="0" w:after="0"/>
        <w:rPr>
          <w:rFonts w:eastAsia="Calibri" w:cs="Times New Roman"/>
          <w:sz w:val="22"/>
          <w:szCs w:val="22"/>
        </w:rPr>
      </w:pPr>
    </w:p>
    <w:p w14:paraId="4E52080E"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 xml:space="preserve">El 15 de febrero de 2022, se publicó el Reglamento Interior de la Secretaría de Finanzas y Administración, en </w:t>
      </w:r>
      <w:r>
        <w:rPr>
          <w:rFonts w:eastAsia="Calibri" w:cs="Times New Roman"/>
          <w:sz w:val="22"/>
          <w:szCs w:val="22"/>
        </w:rPr>
        <w:t xml:space="preserve">el </w:t>
      </w:r>
      <w:r w:rsidRPr="004F06F2">
        <w:rPr>
          <w:rFonts w:eastAsia="Calibri" w:cs="Times New Roman"/>
          <w:sz w:val="22"/>
          <w:szCs w:val="22"/>
        </w:rPr>
        <w:t xml:space="preserve">cual se otorgan y especifican las facultades para la aprobación de los estados financieros y la integración de los informes de avance trimestral y cuenta pública anual de cada ejercicio fiscal. El 12 de diciembre de 2022, se realizaron modificaciones a dicho reglamento, con cambios sustanciales en materia de recaudación, así como la emisión, en la misma fecha, del Manual de Organización de la Secretaría de Finanzas y Administración. La última reforma fue el 29 de diciembre de 2023 donde se realizaron cambios en la organización de la Secretaría de Finanzas y Administración en el Artículo 15 fracción I Subsecretaría de </w:t>
      </w:r>
      <w:r>
        <w:rPr>
          <w:rFonts w:eastAsia="Calibri" w:cs="Times New Roman"/>
          <w:sz w:val="22"/>
          <w:szCs w:val="22"/>
        </w:rPr>
        <w:t>I</w:t>
      </w:r>
      <w:r w:rsidRPr="004F06F2">
        <w:rPr>
          <w:rFonts w:eastAsia="Calibri" w:cs="Times New Roman"/>
          <w:sz w:val="22"/>
          <w:szCs w:val="22"/>
        </w:rPr>
        <w:t>ngresos queda derogada, la fracción II cambia a Subsecretaría de Finanzas a la que quedan adscritas las siguientes Direcciones: Programación y Presupuesto, Seguimiento a la Inversión Pública, Operación de Fondos y Valores, Operación Financiera, Contabilidad Gubernamental, Fideicomisos y Coordinación Fiscal.</w:t>
      </w:r>
    </w:p>
    <w:p w14:paraId="3C0BF0A8" w14:textId="77777777" w:rsidR="002B0869" w:rsidRDefault="002B0869" w:rsidP="002B0869">
      <w:pPr>
        <w:spacing w:before="0" w:after="0"/>
        <w:rPr>
          <w:sz w:val="22"/>
          <w:szCs w:val="22"/>
        </w:rPr>
      </w:pPr>
    </w:p>
    <w:p w14:paraId="311C2244" w14:textId="77777777" w:rsidR="002B0869" w:rsidRPr="004F06F2" w:rsidRDefault="002B0869" w:rsidP="002B0869">
      <w:pPr>
        <w:spacing w:before="0" w:after="0"/>
        <w:rPr>
          <w:rFonts w:eastAsia="Calibri" w:cs="Times New Roman"/>
          <w:sz w:val="22"/>
          <w:szCs w:val="22"/>
        </w:rPr>
      </w:pPr>
      <w:r w:rsidRPr="004F06F2">
        <w:rPr>
          <w:sz w:val="22"/>
          <w:szCs w:val="22"/>
        </w:rPr>
        <w:t>El Instituto Registral y Catastral del Estado de Michoacán de Ocampo; la Unidad de Inteligencia Patrimonial y Económica; así como el Servicio de Administración Tributaria del Estado de Michoacán de Ocampo, como órganos desconcentrados, se ubican en el ámbito orgánico de la Secretaría.</w:t>
      </w:r>
    </w:p>
    <w:p w14:paraId="1F5B5E40" w14:textId="77777777" w:rsidR="002B0869" w:rsidRPr="004F06F2" w:rsidRDefault="002B0869" w:rsidP="002B0869">
      <w:pPr>
        <w:spacing w:before="0" w:after="0"/>
        <w:rPr>
          <w:rFonts w:eastAsia="Calibri" w:cs="Times New Roman"/>
          <w:sz w:val="22"/>
          <w:szCs w:val="22"/>
        </w:rPr>
      </w:pPr>
    </w:p>
    <w:p w14:paraId="0F3B8509"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 xml:space="preserve">El 3 de noviembre de 2023 se publicó el </w:t>
      </w:r>
      <w:bookmarkStart w:id="1" w:name="_Hlk166238001"/>
      <w:r w:rsidRPr="004F06F2">
        <w:rPr>
          <w:rFonts w:eastAsia="Calibri" w:cs="Times New Roman"/>
          <w:sz w:val="22"/>
          <w:szCs w:val="22"/>
        </w:rPr>
        <w:t>Manual de Normas y Lineamientos para el Ejercicio y Control del Presupuesto de Egresos del Estado de Michoacán de Ocampo</w:t>
      </w:r>
      <w:bookmarkEnd w:id="1"/>
      <w:r w:rsidRPr="004F06F2">
        <w:rPr>
          <w:rFonts w:eastAsia="Calibri" w:cs="Times New Roman"/>
          <w:sz w:val="22"/>
          <w:szCs w:val="22"/>
        </w:rPr>
        <w:t>, que incluye en sus lineamientos al Documento de Ejecución Presupuestaria y Pago Digital.</w:t>
      </w:r>
    </w:p>
    <w:p w14:paraId="796B5E31" w14:textId="77777777" w:rsidR="002B0869" w:rsidRPr="004F06F2" w:rsidRDefault="002B0869" w:rsidP="002B0869">
      <w:pPr>
        <w:spacing w:before="0" w:after="0"/>
        <w:rPr>
          <w:rFonts w:eastAsia="Calibri" w:cs="Times New Roman"/>
          <w:sz w:val="22"/>
          <w:szCs w:val="22"/>
        </w:rPr>
      </w:pPr>
    </w:p>
    <w:p w14:paraId="27097949" w14:textId="77777777" w:rsidR="002B0869" w:rsidRPr="000F3C6A" w:rsidRDefault="002B0869" w:rsidP="002B0869">
      <w:pPr>
        <w:spacing w:before="0" w:after="0"/>
        <w:rPr>
          <w:rFonts w:eastAsia="Calibri" w:cs="Times New Roman"/>
          <w:b/>
          <w:bCs/>
          <w:sz w:val="22"/>
          <w:szCs w:val="22"/>
        </w:rPr>
      </w:pPr>
      <w:r w:rsidRPr="00F44E49">
        <w:rPr>
          <w:rFonts w:eastAsia="Calibri" w:cs="Times New Roman"/>
          <w:b/>
          <w:bCs/>
          <w:sz w:val="22"/>
          <w:szCs w:val="22"/>
        </w:rPr>
        <w:t>2.- Panorama económico y financiero</w:t>
      </w:r>
    </w:p>
    <w:p w14:paraId="317EA62F" w14:textId="77777777" w:rsidR="002B0869" w:rsidRPr="004F06F2" w:rsidRDefault="002B0869" w:rsidP="002B0869">
      <w:pPr>
        <w:spacing w:before="0" w:after="0"/>
        <w:rPr>
          <w:rFonts w:eastAsia="Calibri" w:cs="Times New Roman"/>
          <w:sz w:val="22"/>
          <w:szCs w:val="22"/>
        </w:rPr>
      </w:pPr>
    </w:p>
    <w:p w14:paraId="62BA298C" w14:textId="77777777" w:rsidR="002B0869" w:rsidRDefault="002B0869" w:rsidP="002B0869">
      <w:pPr>
        <w:rPr>
          <w:sz w:val="22"/>
          <w:szCs w:val="22"/>
        </w:rPr>
      </w:pPr>
      <w:r w:rsidRPr="00F44E49">
        <w:rPr>
          <w:sz w:val="22"/>
          <w:szCs w:val="22"/>
        </w:rPr>
        <w:t xml:space="preserve">Conforme al informe financiero del </w:t>
      </w:r>
      <w:r>
        <w:rPr>
          <w:sz w:val="22"/>
          <w:szCs w:val="22"/>
        </w:rPr>
        <w:t>primer</w:t>
      </w:r>
      <w:r w:rsidRPr="00F44E49">
        <w:rPr>
          <w:sz w:val="22"/>
          <w:szCs w:val="22"/>
        </w:rPr>
        <w:t xml:space="preserve"> trimestre de 202</w:t>
      </w:r>
      <w:r>
        <w:rPr>
          <w:sz w:val="22"/>
          <w:szCs w:val="22"/>
        </w:rPr>
        <w:t>5</w:t>
      </w:r>
      <w:r w:rsidRPr="00F44E49">
        <w:rPr>
          <w:sz w:val="22"/>
          <w:szCs w:val="22"/>
        </w:rPr>
        <w:t>, presentado por el Banco de México (BANXICO)</w:t>
      </w:r>
      <w:r>
        <w:rPr>
          <w:rStyle w:val="Refdenotaalpie"/>
          <w:sz w:val="22"/>
          <w:szCs w:val="22"/>
        </w:rPr>
        <w:footnoteReference w:id="1"/>
      </w:r>
      <w:r w:rsidRPr="00F44E49">
        <w:rPr>
          <w:sz w:val="22"/>
          <w:szCs w:val="22"/>
        </w:rPr>
        <w:t xml:space="preserve">, el 28 de mayo de 2025, </w:t>
      </w:r>
      <w:r>
        <w:rPr>
          <w:sz w:val="22"/>
          <w:szCs w:val="22"/>
        </w:rPr>
        <w:lastRenderedPageBreak/>
        <w:t>L</w:t>
      </w:r>
      <w:r w:rsidRPr="00F44E49">
        <w:rPr>
          <w:sz w:val="22"/>
          <w:szCs w:val="22"/>
        </w:rPr>
        <w:t>a economía nacional mostró signos de debilidad en un entorno internacional complejo, caracterizado por la incertidumbre derivada de las medidas arancelarias anunciadas por el gobierno de Estados Unidos. Esta situación pudo haber influido negativamente en las decisiones de inversión y consumo de los agentes económicos, al generar un ambiente de cautela.</w:t>
      </w:r>
    </w:p>
    <w:p w14:paraId="1AD8BCD9" w14:textId="77777777" w:rsidR="002B0869" w:rsidRPr="00F44E49" w:rsidRDefault="002B0869" w:rsidP="002B0869">
      <w:pPr>
        <w:rPr>
          <w:sz w:val="22"/>
          <w:szCs w:val="22"/>
        </w:rPr>
      </w:pPr>
    </w:p>
    <w:p w14:paraId="07D19445" w14:textId="77777777" w:rsidR="002B0869" w:rsidRDefault="002B0869" w:rsidP="002B0869">
      <w:pPr>
        <w:rPr>
          <w:sz w:val="22"/>
          <w:szCs w:val="22"/>
        </w:rPr>
      </w:pPr>
      <w:r w:rsidRPr="00F44E49">
        <w:rPr>
          <w:sz w:val="22"/>
          <w:szCs w:val="22"/>
        </w:rPr>
        <w:t>En el ámbito interno, algunos de los principales determinantes del consumo reflejaron un comportamiento desfavorable. La masa salarial, por ejemplo, experimentó una marcada desaceleración en comparación con el dinamismo observado en los trimestres anteriores. Esta ralentización fue atribuible tanto al estancamiento de la población ocupada remunerada como a una moderación en el crecimiento de las remuneraciones medias reales.</w:t>
      </w:r>
    </w:p>
    <w:p w14:paraId="0E31E0D4" w14:textId="77777777" w:rsidR="002B0869" w:rsidRPr="00F44E49" w:rsidRDefault="002B0869" w:rsidP="002B0869">
      <w:pPr>
        <w:rPr>
          <w:sz w:val="22"/>
          <w:szCs w:val="22"/>
        </w:rPr>
      </w:pPr>
    </w:p>
    <w:p w14:paraId="2A8ADC9D" w14:textId="77777777" w:rsidR="002B0869" w:rsidRDefault="002B0869" w:rsidP="002B0869">
      <w:pPr>
        <w:rPr>
          <w:sz w:val="22"/>
          <w:szCs w:val="22"/>
        </w:rPr>
      </w:pPr>
      <w:r w:rsidRPr="00F44E49">
        <w:rPr>
          <w:sz w:val="22"/>
          <w:szCs w:val="22"/>
        </w:rPr>
        <w:t xml:space="preserve">Asimismo, los niveles de confianza del consumidor mostraron una disminución respecto al último trimestre de 2024, lo que podría haber influido en una menor disposición al gasto por parte de los hogares. Por otro lado, aunque los ingresos por remesas continuaron creciendo en términos </w:t>
      </w:r>
      <w:proofErr w:type="spellStart"/>
      <w:r w:rsidRPr="00F44E49">
        <w:rPr>
          <w:sz w:val="22"/>
          <w:szCs w:val="22"/>
        </w:rPr>
        <w:t>desestacionalizados</w:t>
      </w:r>
      <w:proofErr w:type="spellEnd"/>
      <w:r w:rsidRPr="00F44E49">
        <w:rPr>
          <w:sz w:val="22"/>
          <w:szCs w:val="22"/>
        </w:rPr>
        <w:t xml:space="preserve"> durante el primer trimestre del año, lo hicieron a un ritmo más moderado que en los tres trimestres previos.</w:t>
      </w:r>
    </w:p>
    <w:p w14:paraId="2C3E4455" w14:textId="77777777" w:rsidR="002B0869" w:rsidRPr="00F44E49" w:rsidRDefault="002B0869" w:rsidP="002B0869">
      <w:pPr>
        <w:rPr>
          <w:sz w:val="22"/>
          <w:szCs w:val="22"/>
        </w:rPr>
      </w:pPr>
    </w:p>
    <w:p w14:paraId="6BD04DCA" w14:textId="77777777" w:rsidR="002B0869" w:rsidRPr="00F44E49" w:rsidRDefault="002B0869" w:rsidP="002B0869">
      <w:pPr>
        <w:rPr>
          <w:sz w:val="22"/>
          <w:szCs w:val="22"/>
        </w:rPr>
      </w:pPr>
      <w:r w:rsidRPr="00F44E49">
        <w:rPr>
          <w:sz w:val="22"/>
          <w:szCs w:val="22"/>
        </w:rPr>
        <w:t>En conjunto, estos factores reflejan un panorama económico debilitado, influido tanto por condiciones externas como por elementos internos que incidieron en el comportamiento del consumo y la inversión.</w:t>
      </w:r>
    </w:p>
    <w:p w14:paraId="31452137" w14:textId="77777777" w:rsidR="002B0869" w:rsidRPr="00F44E49" w:rsidRDefault="002B0869" w:rsidP="002B0869">
      <w:pPr>
        <w:rPr>
          <w:sz w:val="22"/>
          <w:szCs w:val="22"/>
        </w:rPr>
      </w:pPr>
    </w:p>
    <w:p w14:paraId="441804EF" w14:textId="77777777" w:rsidR="002B0869" w:rsidRPr="00F44E49" w:rsidRDefault="002B0869" w:rsidP="002B0869">
      <w:pPr>
        <w:rPr>
          <w:sz w:val="22"/>
          <w:szCs w:val="22"/>
        </w:rPr>
      </w:pPr>
      <w:r w:rsidRPr="00F44E49">
        <w:rPr>
          <w:sz w:val="22"/>
          <w:szCs w:val="22"/>
        </w:rPr>
        <w:t xml:space="preserve">Durante el primer trimestre de 2025, el mercado laboral nacional continuó mostrando señales de enfriamiento. La población ocupada se mantuvo prácticamente sin variación respecto al trimestre anterior, en línea con la pérdida de dinamismo que se ha venido observando desde finales de 2023. Este estancamiento generalizado fue </w:t>
      </w:r>
      <w:r w:rsidRPr="00F44E49">
        <w:rPr>
          <w:sz w:val="22"/>
          <w:szCs w:val="22"/>
        </w:rPr>
        <w:lastRenderedPageBreak/>
        <w:t>particularmente evidente en el empleo formal registrado ante el Instituto Mexicano del Seguro Social (IMSS), el cual mostró una marcada debilidad. Esta situación respondió principalmente al bajo desempeño del empleo en el sector manufacturero y al estancamiento en el sector de la construcción.</w:t>
      </w:r>
    </w:p>
    <w:p w14:paraId="68822960" w14:textId="77777777" w:rsidR="002B0869" w:rsidRPr="00F44E49" w:rsidRDefault="002B0869" w:rsidP="002B0869">
      <w:pPr>
        <w:rPr>
          <w:sz w:val="22"/>
          <w:szCs w:val="22"/>
        </w:rPr>
      </w:pPr>
    </w:p>
    <w:p w14:paraId="647A3EEF" w14:textId="77777777" w:rsidR="002B0869" w:rsidRPr="00F44E49" w:rsidRDefault="002B0869" w:rsidP="002B0869">
      <w:pPr>
        <w:rPr>
          <w:sz w:val="22"/>
          <w:szCs w:val="22"/>
        </w:rPr>
      </w:pPr>
      <w:r w:rsidRPr="00F44E49">
        <w:rPr>
          <w:sz w:val="22"/>
          <w:szCs w:val="22"/>
        </w:rPr>
        <w:t>Como reflejo de este contexto laboral, la razón de ocupación respecto a la población en edad de trabajar acumuló cuatro trimestres consecutivos de disminuciones marginales. Paralelamente, tanto la tasa de participación laboral como la razón de ocupación experimentaron reducciones similares durante el periodo analizado.</w:t>
      </w:r>
    </w:p>
    <w:p w14:paraId="40CD48B7" w14:textId="77777777" w:rsidR="002B0869" w:rsidRPr="00F44E49" w:rsidRDefault="002B0869" w:rsidP="002B0869">
      <w:pPr>
        <w:rPr>
          <w:sz w:val="22"/>
          <w:szCs w:val="22"/>
        </w:rPr>
      </w:pPr>
    </w:p>
    <w:p w14:paraId="1E6B71EB" w14:textId="77777777" w:rsidR="002B0869" w:rsidRPr="00F44E49" w:rsidRDefault="002B0869" w:rsidP="002B0869">
      <w:pPr>
        <w:rPr>
          <w:sz w:val="22"/>
          <w:szCs w:val="22"/>
        </w:rPr>
      </w:pPr>
      <w:r w:rsidRPr="00F44E49">
        <w:rPr>
          <w:sz w:val="22"/>
          <w:szCs w:val="22"/>
        </w:rPr>
        <w:t>A pesar de este debilitamiento en la dinámica del empleo, la tasa de desocupación nacional se mantuvo en niveles históricamente bajos. Específicamente, se situó en 2.6% durante el primer trimestre de 2025, una cifra idéntica a la observada en el trimestre previo y ligeramente inferior al promedio de 2.7% registrado a lo largo de 2024. En cuanto a la tasa de desocupación urbana, esta se ubicó en 3.0%, apenas superior al 2.9% registrado al cierre de 2024, lo que confirma que, aunque con ligeras variaciones, las condiciones de desocupación se mantuvieron estables y en niveles reducidos.</w:t>
      </w:r>
    </w:p>
    <w:p w14:paraId="1AFE0B41" w14:textId="77777777" w:rsidR="002B0869" w:rsidRPr="00F44E49" w:rsidRDefault="002B0869" w:rsidP="002B0869">
      <w:pPr>
        <w:rPr>
          <w:sz w:val="22"/>
          <w:szCs w:val="22"/>
        </w:rPr>
      </w:pPr>
    </w:p>
    <w:p w14:paraId="1F029003" w14:textId="77777777" w:rsidR="002B0869" w:rsidRPr="00F44E49" w:rsidRDefault="002B0869" w:rsidP="002B0869">
      <w:pPr>
        <w:rPr>
          <w:sz w:val="22"/>
          <w:szCs w:val="22"/>
        </w:rPr>
      </w:pPr>
      <w:r w:rsidRPr="00F44E49">
        <w:rPr>
          <w:sz w:val="22"/>
          <w:szCs w:val="22"/>
        </w:rPr>
        <w:t>En conjunto, estos indicadores revelan un mercado laboral que, si bien conserva niveles bajos de desempleo, enfrenta una desaceleración sostenida en la generación de empleo formal y una menor participación laboral, lo que podría tener implicaciones en la evolución futura del ingreso y el consumo de los hogares.</w:t>
      </w:r>
    </w:p>
    <w:p w14:paraId="405B7CEF" w14:textId="77777777" w:rsidR="002B0869" w:rsidRPr="00F44E49" w:rsidRDefault="002B0869" w:rsidP="002B0869">
      <w:pPr>
        <w:spacing w:before="0" w:after="0"/>
        <w:rPr>
          <w:sz w:val="22"/>
          <w:szCs w:val="22"/>
        </w:rPr>
      </w:pPr>
    </w:p>
    <w:p w14:paraId="10D4BF5C" w14:textId="77777777" w:rsidR="002B0869" w:rsidRPr="00F44E49" w:rsidRDefault="002B0869" w:rsidP="002B0869">
      <w:pPr>
        <w:spacing w:before="0" w:after="0"/>
        <w:rPr>
          <w:sz w:val="22"/>
          <w:szCs w:val="22"/>
        </w:rPr>
      </w:pPr>
      <w:r w:rsidRPr="00F44E49">
        <w:rPr>
          <w:sz w:val="22"/>
          <w:szCs w:val="22"/>
        </w:rPr>
        <w:t xml:space="preserve">El crecimiento observado en el primer trimestre de 2025 contrasta de manera positiva con el comportamiento del trimestre previo, en el cual la entidad había mostrado señales de estancamiento. Esta mejora sugiere un repunte en sectores clave de la economía estatal, particularmente en las actividades terciarias, que históricamente han sido un pilar para el crecimiento económico de la entidad. Aunque </w:t>
      </w:r>
      <w:r w:rsidRPr="00F44E49">
        <w:rPr>
          <w:sz w:val="22"/>
          <w:szCs w:val="22"/>
        </w:rPr>
        <w:lastRenderedPageBreak/>
        <w:t>el boletín no desglosa el desempeño por sector (primario, secundario y terciario), el avance global permite inferir una recuperación paulatina en el entorno productivo.</w:t>
      </w:r>
    </w:p>
    <w:p w14:paraId="4CBDDA6D" w14:textId="77777777" w:rsidR="002B0869" w:rsidRPr="00F44E49" w:rsidRDefault="002B0869" w:rsidP="002B0869">
      <w:pPr>
        <w:spacing w:before="0" w:after="0"/>
        <w:rPr>
          <w:sz w:val="22"/>
          <w:szCs w:val="22"/>
        </w:rPr>
      </w:pPr>
    </w:p>
    <w:p w14:paraId="2A7175AB" w14:textId="77777777" w:rsidR="002B0869" w:rsidRDefault="002B0869" w:rsidP="002B0869">
      <w:pPr>
        <w:spacing w:before="0" w:after="0"/>
        <w:rPr>
          <w:sz w:val="22"/>
          <w:szCs w:val="22"/>
        </w:rPr>
      </w:pPr>
      <w:r w:rsidRPr="00F44E49">
        <w:rPr>
          <w:sz w:val="22"/>
          <w:szCs w:val="22"/>
        </w:rPr>
        <w:t xml:space="preserve">Los datos del </w:t>
      </w:r>
      <w:r>
        <w:rPr>
          <w:sz w:val="22"/>
          <w:szCs w:val="22"/>
        </w:rPr>
        <w:t>Informe Trimestral de la Actividad Económica Estatal</w:t>
      </w:r>
      <w:r>
        <w:rPr>
          <w:rStyle w:val="Refdenotaalpie"/>
          <w:sz w:val="22"/>
          <w:szCs w:val="22"/>
        </w:rPr>
        <w:footnoteReference w:id="2"/>
      </w:r>
      <w:r>
        <w:rPr>
          <w:sz w:val="22"/>
          <w:szCs w:val="22"/>
        </w:rPr>
        <w:t xml:space="preserve"> (</w:t>
      </w:r>
      <w:r w:rsidRPr="00F44E49">
        <w:rPr>
          <w:sz w:val="22"/>
          <w:szCs w:val="22"/>
        </w:rPr>
        <w:t>ITAEE</w:t>
      </w:r>
      <w:r>
        <w:rPr>
          <w:sz w:val="22"/>
          <w:szCs w:val="22"/>
        </w:rPr>
        <w:t xml:space="preserve">) </w:t>
      </w:r>
      <w:r w:rsidRPr="00F44E49">
        <w:rPr>
          <w:sz w:val="22"/>
          <w:szCs w:val="22"/>
        </w:rPr>
        <w:t>correspondientes al primer trimestre de 2025 muestran que la economía de Michoacán ha retomado una senda de crecimiento, aunque aún en niveles moderados. Será fundamental observar la evolución de los próximos trimestres para confirmar la sostenibilidad de esta recuperación, así como su posible extensión hacia sectores productivos que siguen mostrando rezagos.</w:t>
      </w:r>
    </w:p>
    <w:p w14:paraId="5DBBF471" w14:textId="77777777" w:rsidR="002B0869" w:rsidRPr="00F44E49" w:rsidRDefault="002B0869" w:rsidP="002B0869">
      <w:pPr>
        <w:spacing w:before="0" w:after="0"/>
        <w:rPr>
          <w:sz w:val="22"/>
          <w:szCs w:val="22"/>
        </w:rPr>
      </w:pPr>
    </w:p>
    <w:p w14:paraId="0E9D6C4B" w14:textId="77777777" w:rsidR="002B0869" w:rsidRPr="00F44E49" w:rsidRDefault="002B0869" w:rsidP="002B0869">
      <w:pPr>
        <w:spacing w:before="0" w:after="0"/>
        <w:rPr>
          <w:sz w:val="22"/>
          <w:szCs w:val="22"/>
        </w:rPr>
      </w:pPr>
      <w:r w:rsidRPr="00F44E49">
        <w:rPr>
          <w:sz w:val="22"/>
          <w:szCs w:val="22"/>
        </w:rPr>
        <w:t>En este mismo tenor, dentro de la Encuesta</w:t>
      </w:r>
      <w:r>
        <w:rPr>
          <w:sz w:val="22"/>
          <w:szCs w:val="22"/>
        </w:rPr>
        <w:t xml:space="preserve"> Nacional de Ocupación y Empleo</w:t>
      </w:r>
      <w:r>
        <w:rPr>
          <w:rStyle w:val="Refdenotaalpie"/>
          <w:sz w:val="22"/>
          <w:szCs w:val="22"/>
        </w:rPr>
        <w:footnoteReference w:id="3"/>
      </w:r>
      <w:r>
        <w:rPr>
          <w:sz w:val="22"/>
          <w:szCs w:val="22"/>
        </w:rPr>
        <w:t xml:space="preserve"> </w:t>
      </w:r>
      <w:r w:rsidRPr="00F44E49">
        <w:rPr>
          <w:sz w:val="22"/>
          <w:szCs w:val="22"/>
        </w:rPr>
        <w:t>(ENOE) elaborado y publicado por la misma institución anteriormente mencionada con fecha de emisión del día 27 de mayo del 2025 abarcando el primer trimestre del corriente en el cual el estado de Michoacán de Ocampo presentó señales mixtas. Si bien la tasa de desocupación se mantuvo en niveles históricamente bajos, se observaron retrocesos en indicadores clave como la participación económica y la calidad del empleo.</w:t>
      </w:r>
    </w:p>
    <w:p w14:paraId="48503989" w14:textId="77777777" w:rsidR="002B0869" w:rsidRPr="00F44E49" w:rsidRDefault="002B0869" w:rsidP="002B0869">
      <w:pPr>
        <w:spacing w:before="0" w:after="0"/>
        <w:rPr>
          <w:sz w:val="22"/>
          <w:szCs w:val="22"/>
        </w:rPr>
      </w:pPr>
    </w:p>
    <w:p w14:paraId="48BC10C4" w14:textId="77777777" w:rsidR="002B0869" w:rsidRPr="00F44E49" w:rsidRDefault="002B0869" w:rsidP="002B0869">
      <w:pPr>
        <w:spacing w:before="0" w:after="0"/>
        <w:rPr>
          <w:sz w:val="22"/>
          <w:szCs w:val="22"/>
        </w:rPr>
      </w:pPr>
      <w:r w:rsidRPr="00F44E49">
        <w:rPr>
          <w:sz w:val="22"/>
          <w:szCs w:val="22"/>
        </w:rPr>
        <w:t>La Población Económicamente Activa (PEA) se ubicó en 2</w:t>
      </w:r>
      <w:r w:rsidRPr="00F44E49">
        <w:rPr>
          <w:rFonts w:ascii="Cambria Math" w:hAnsi="Cambria Math" w:cs="Cambria Math"/>
          <w:sz w:val="22"/>
          <w:szCs w:val="22"/>
        </w:rPr>
        <w:t xml:space="preserve">, </w:t>
      </w:r>
      <w:r w:rsidRPr="00F44E49">
        <w:rPr>
          <w:sz w:val="22"/>
          <w:szCs w:val="22"/>
        </w:rPr>
        <w:t>257</w:t>
      </w:r>
      <w:r w:rsidRPr="00F44E49">
        <w:rPr>
          <w:rFonts w:ascii="Cambria Math" w:hAnsi="Cambria Math" w:cs="Cambria Math"/>
          <w:sz w:val="22"/>
          <w:szCs w:val="22"/>
        </w:rPr>
        <w:t xml:space="preserve">, </w:t>
      </w:r>
      <w:r w:rsidRPr="00F44E49">
        <w:rPr>
          <w:sz w:val="22"/>
          <w:szCs w:val="22"/>
        </w:rPr>
        <w:t>524 personas, lo que represent</w:t>
      </w:r>
      <w:r w:rsidRPr="00F44E49">
        <w:rPr>
          <w:rFonts w:ascii="Courier New" w:hAnsi="Courier New" w:cs="Courier New"/>
          <w:sz w:val="22"/>
          <w:szCs w:val="22"/>
        </w:rPr>
        <w:t>ó</w:t>
      </w:r>
      <w:r w:rsidRPr="00F44E49">
        <w:rPr>
          <w:sz w:val="22"/>
          <w:szCs w:val="22"/>
        </w:rPr>
        <w:t xml:space="preserve"> una tasa de participación económica de 60.5</w:t>
      </w:r>
      <w:r w:rsidRPr="00F44E49">
        <w:rPr>
          <w:rFonts w:ascii="Cambria Math" w:hAnsi="Cambria Math" w:cs="Cambria Math"/>
          <w:sz w:val="22"/>
          <w:szCs w:val="22"/>
        </w:rPr>
        <w:t> </w:t>
      </w:r>
      <w:r w:rsidRPr="00F44E49">
        <w:rPr>
          <w:sz w:val="22"/>
          <w:szCs w:val="22"/>
        </w:rPr>
        <w:t>%, una reducci</w:t>
      </w:r>
      <w:r w:rsidRPr="00F44E49">
        <w:rPr>
          <w:rFonts w:ascii="Courier New" w:hAnsi="Courier New" w:cs="Courier New"/>
          <w:sz w:val="22"/>
          <w:szCs w:val="22"/>
        </w:rPr>
        <w:t>ó</w:t>
      </w:r>
      <w:r w:rsidRPr="00F44E49">
        <w:rPr>
          <w:sz w:val="22"/>
          <w:szCs w:val="22"/>
        </w:rPr>
        <w:t>n de 1.3% respecto al mismo trimestre del a</w:t>
      </w:r>
      <w:r w:rsidRPr="00F44E49">
        <w:rPr>
          <w:rFonts w:ascii="Courier New" w:hAnsi="Courier New" w:cs="Courier New"/>
          <w:sz w:val="22"/>
          <w:szCs w:val="22"/>
        </w:rPr>
        <w:t>ñ</w:t>
      </w:r>
      <w:r w:rsidRPr="00F44E49">
        <w:rPr>
          <w:sz w:val="22"/>
          <w:szCs w:val="22"/>
        </w:rPr>
        <w:t>o anterior. Esta disminuci</w:t>
      </w:r>
      <w:r w:rsidRPr="00F44E49">
        <w:rPr>
          <w:rFonts w:ascii="Courier New" w:hAnsi="Courier New" w:cs="Courier New"/>
          <w:sz w:val="22"/>
          <w:szCs w:val="22"/>
        </w:rPr>
        <w:t>ó</w:t>
      </w:r>
      <w:r w:rsidRPr="00F44E49">
        <w:rPr>
          <w:sz w:val="22"/>
          <w:szCs w:val="22"/>
        </w:rPr>
        <w:t>n fue atribuible tanto a hombres como a mujeres y refleja una menor incorporaci</w:t>
      </w:r>
      <w:r w:rsidRPr="00F44E49">
        <w:rPr>
          <w:rFonts w:ascii="Courier New" w:hAnsi="Courier New" w:cs="Courier New"/>
          <w:sz w:val="22"/>
          <w:szCs w:val="22"/>
        </w:rPr>
        <w:t>ó</w:t>
      </w:r>
      <w:r w:rsidRPr="00F44E49">
        <w:rPr>
          <w:sz w:val="22"/>
          <w:szCs w:val="22"/>
        </w:rPr>
        <w:t>n de la poblaci</w:t>
      </w:r>
      <w:r w:rsidRPr="00F44E49">
        <w:rPr>
          <w:rFonts w:ascii="Courier New" w:hAnsi="Courier New" w:cs="Courier New"/>
          <w:sz w:val="22"/>
          <w:szCs w:val="22"/>
        </w:rPr>
        <w:t>ó</w:t>
      </w:r>
      <w:r w:rsidRPr="00F44E49">
        <w:rPr>
          <w:sz w:val="22"/>
          <w:szCs w:val="22"/>
        </w:rPr>
        <w:t>n al mercado laboral.</w:t>
      </w:r>
    </w:p>
    <w:p w14:paraId="71DBFA6E" w14:textId="77777777" w:rsidR="002B0869" w:rsidRPr="00F44E49" w:rsidRDefault="002B0869" w:rsidP="002B0869">
      <w:pPr>
        <w:spacing w:before="0" w:after="0"/>
        <w:rPr>
          <w:sz w:val="22"/>
          <w:szCs w:val="22"/>
        </w:rPr>
      </w:pPr>
    </w:p>
    <w:p w14:paraId="1F2335E4" w14:textId="77777777" w:rsidR="002B0869" w:rsidRPr="00F44E49" w:rsidRDefault="002B0869" w:rsidP="002B0869">
      <w:pPr>
        <w:spacing w:before="0" w:after="0"/>
        <w:rPr>
          <w:sz w:val="22"/>
          <w:szCs w:val="22"/>
        </w:rPr>
      </w:pPr>
      <w:r w:rsidRPr="00F44E49">
        <w:rPr>
          <w:sz w:val="22"/>
          <w:szCs w:val="22"/>
        </w:rPr>
        <w:t>En términos de calidad del empleo, se reportó una tasa de informalidad laboral del 67.8</w:t>
      </w:r>
      <w:r w:rsidRPr="00F44E49">
        <w:rPr>
          <w:rFonts w:ascii="Cambria Math" w:hAnsi="Cambria Math" w:cs="Cambria Math"/>
          <w:sz w:val="22"/>
          <w:szCs w:val="22"/>
        </w:rPr>
        <w:t> </w:t>
      </w:r>
      <w:r w:rsidRPr="00F44E49">
        <w:rPr>
          <w:sz w:val="22"/>
          <w:szCs w:val="22"/>
        </w:rPr>
        <w:t>%, un incremento respecto al 60.9</w:t>
      </w:r>
      <w:r w:rsidRPr="00F44E49">
        <w:rPr>
          <w:rFonts w:ascii="Cambria Math" w:hAnsi="Cambria Math" w:cs="Cambria Math"/>
          <w:sz w:val="22"/>
          <w:szCs w:val="22"/>
        </w:rPr>
        <w:t> </w:t>
      </w:r>
      <w:r w:rsidRPr="00F44E49">
        <w:rPr>
          <w:sz w:val="22"/>
          <w:szCs w:val="22"/>
        </w:rPr>
        <w:t>% registrado un a</w:t>
      </w:r>
      <w:r w:rsidRPr="00F44E49">
        <w:rPr>
          <w:rFonts w:ascii="Courier New" w:hAnsi="Courier New" w:cs="Courier New"/>
          <w:sz w:val="22"/>
          <w:szCs w:val="22"/>
        </w:rPr>
        <w:t>ñ</w:t>
      </w:r>
      <w:r w:rsidRPr="00F44E49">
        <w:rPr>
          <w:sz w:val="22"/>
          <w:szCs w:val="22"/>
        </w:rPr>
        <w:t>o antes. Asimismo, la tasa de ocupaci</w:t>
      </w:r>
      <w:r w:rsidRPr="00F44E49">
        <w:rPr>
          <w:rFonts w:ascii="Courier New" w:hAnsi="Courier New" w:cs="Courier New"/>
          <w:sz w:val="22"/>
          <w:szCs w:val="22"/>
        </w:rPr>
        <w:t>ó</w:t>
      </w:r>
      <w:r w:rsidRPr="00F44E49">
        <w:rPr>
          <w:sz w:val="22"/>
          <w:szCs w:val="22"/>
        </w:rPr>
        <w:t xml:space="preserve">n en el sector </w:t>
      </w:r>
      <w:r w:rsidRPr="00F44E49">
        <w:rPr>
          <w:sz w:val="22"/>
          <w:szCs w:val="22"/>
        </w:rPr>
        <w:lastRenderedPageBreak/>
        <w:t>informal fue de 42.7</w:t>
      </w:r>
      <w:r w:rsidRPr="00F44E49">
        <w:rPr>
          <w:rFonts w:ascii="Cambria Math" w:hAnsi="Cambria Math" w:cs="Cambria Math"/>
          <w:sz w:val="22"/>
          <w:szCs w:val="22"/>
        </w:rPr>
        <w:t> </w:t>
      </w:r>
      <w:r w:rsidRPr="00F44E49">
        <w:rPr>
          <w:sz w:val="22"/>
          <w:szCs w:val="22"/>
        </w:rPr>
        <w:t>%, lo que evidencia la persistencia de condiciones laborales precarias. La tasa de subocupaci</w:t>
      </w:r>
      <w:r w:rsidRPr="00F44E49">
        <w:rPr>
          <w:rFonts w:ascii="Courier New" w:hAnsi="Courier New" w:cs="Courier New"/>
          <w:sz w:val="22"/>
          <w:szCs w:val="22"/>
        </w:rPr>
        <w:t>ó</w:t>
      </w:r>
      <w:r w:rsidRPr="00F44E49">
        <w:rPr>
          <w:sz w:val="22"/>
          <w:szCs w:val="22"/>
        </w:rPr>
        <w:t>n, por su parte, fue de 9.1</w:t>
      </w:r>
      <w:r w:rsidRPr="00F44E49">
        <w:rPr>
          <w:rFonts w:ascii="Cambria Math" w:hAnsi="Cambria Math" w:cs="Cambria Math"/>
          <w:sz w:val="22"/>
          <w:szCs w:val="22"/>
        </w:rPr>
        <w:t> </w:t>
      </w:r>
      <w:r w:rsidRPr="00F44E49">
        <w:rPr>
          <w:sz w:val="22"/>
          <w:szCs w:val="22"/>
        </w:rPr>
        <w:t>%, equivalente a m</w:t>
      </w:r>
      <w:r w:rsidRPr="00F44E49">
        <w:rPr>
          <w:rFonts w:ascii="Courier New" w:hAnsi="Courier New" w:cs="Courier New"/>
          <w:sz w:val="22"/>
          <w:szCs w:val="22"/>
        </w:rPr>
        <w:t>á</w:t>
      </w:r>
      <w:r w:rsidRPr="00F44E49">
        <w:rPr>
          <w:sz w:val="22"/>
          <w:szCs w:val="22"/>
        </w:rPr>
        <w:t>s de 202</w:t>
      </w:r>
      <w:r w:rsidRPr="00F44E49">
        <w:rPr>
          <w:rFonts w:ascii="Cambria Math" w:hAnsi="Cambria Math" w:cs="Cambria Math"/>
          <w:sz w:val="22"/>
          <w:szCs w:val="22"/>
        </w:rPr>
        <w:t>,</w:t>
      </w:r>
      <w:r w:rsidRPr="00F44E49">
        <w:rPr>
          <w:sz w:val="22"/>
          <w:szCs w:val="22"/>
        </w:rPr>
        <w:t>000 personas que, aunque empleadas, manifestaron disponibilidad para trabajar m</w:t>
      </w:r>
      <w:r w:rsidRPr="00F44E49">
        <w:rPr>
          <w:rFonts w:ascii="Courier New" w:hAnsi="Courier New" w:cs="Courier New"/>
          <w:sz w:val="22"/>
          <w:szCs w:val="22"/>
        </w:rPr>
        <w:t>á</w:t>
      </w:r>
      <w:r w:rsidRPr="00F44E49">
        <w:rPr>
          <w:sz w:val="22"/>
          <w:szCs w:val="22"/>
        </w:rPr>
        <w:t>s tiempo.</w:t>
      </w:r>
    </w:p>
    <w:p w14:paraId="24D71CE8" w14:textId="77777777" w:rsidR="002B0869" w:rsidRPr="00F44E49" w:rsidRDefault="002B0869" w:rsidP="002B0869">
      <w:pPr>
        <w:spacing w:before="0" w:after="0"/>
        <w:rPr>
          <w:sz w:val="22"/>
          <w:szCs w:val="22"/>
        </w:rPr>
      </w:pPr>
    </w:p>
    <w:p w14:paraId="6B7CC925" w14:textId="77777777" w:rsidR="002B0869" w:rsidRPr="00F44E49" w:rsidRDefault="002B0869" w:rsidP="002B0869">
      <w:pPr>
        <w:spacing w:before="0" w:after="0"/>
        <w:rPr>
          <w:sz w:val="22"/>
          <w:szCs w:val="22"/>
        </w:rPr>
      </w:pPr>
      <w:r w:rsidRPr="00F44E49">
        <w:rPr>
          <w:sz w:val="22"/>
          <w:szCs w:val="22"/>
        </w:rPr>
        <w:t>En cuanto a la distribución sectorial, el sector primario concentró al 18.8</w:t>
      </w:r>
      <w:r w:rsidRPr="00F44E49">
        <w:rPr>
          <w:rFonts w:ascii="Cambria Math" w:hAnsi="Cambria Math" w:cs="Cambria Math"/>
          <w:sz w:val="22"/>
          <w:szCs w:val="22"/>
        </w:rPr>
        <w:t> </w:t>
      </w:r>
      <w:r w:rsidRPr="00F44E49">
        <w:rPr>
          <w:sz w:val="22"/>
          <w:szCs w:val="22"/>
        </w:rPr>
        <w:t>% de los ocupados, lo que representa una ca</w:t>
      </w:r>
      <w:r w:rsidRPr="00F44E49">
        <w:rPr>
          <w:rFonts w:ascii="Courier New" w:hAnsi="Courier New" w:cs="Courier New"/>
          <w:sz w:val="22"/>
          <w:szCs w:val="22"/>
        </w:rPr>
        <w:t>í</w:t>
      </w:r>
      <w:r w:rsidRPr="00F44E49">
        <w:rPr>
          <w:sz w:val="22"/>
          <w:szCs w:val="22"/>
        </w:rPr>
        <w:t>da significativa respecto al a</w:t>
      </w:r>
      <w:r w:rsidRPr="00F44E49">
        <w:rPr>
          <w:rFonts w:ascii="Courier New" w:hAnsi="Courier New" w:cs="Courier New"/>
          <w:sz w:val="22"/>
          <w:szCs w:val="22"/>
        </w:rPr>
        <w:t>ñ</w:t>
      </w:r>
      <w:r w:rsidRPr="00F44E49">
        <w:rPr>
          <w:sz w:val="22"/>
          <w:szCs w:val="22"/>
        </w:rPr>
        <w:t>o anterior, el sector secundario representó el 21.5</w:t>
      </w:r>
      <w:r w:rsidRPr="00F44E49">
        <w:rPr>
          <w:rFonts w:ascii="Cambria Math" w:hAnsi="Cambria Math" w:cs="Cambria Math"/>
          <w:sz w:val="22"/>
          <w:szCs w:val="22"/>
        </w:rPr>
        <w:t> </w:t>
      </w:r>
      <w:r w:rsidRPr="00F44E49">
        <w:rPr>
          <w:sz w:val="22"/>
          <w:szCs w:val="22"/>
        </w:rPr>
        <w:t>% de la ocupaci</w:t>
      </w:r>
      <w:r w:rsidRPr="00F44E49">
        <w:rPr>
          <w:rFonts w:ascii="Courier New" w:hAnsi="Courier New" w:cs="Courier New"/>
          <w:sz w:val="22"/>
          <w:szCs w:val="22"/>
        </w:rPr>
        <w:t>ó</w:t>
      </w:r>
      <w:r w:rsidRPr="00F44E49">
        <w:rPr>
          <w:sz w:val="22"/>
          <w:szCs w:val="22"/>
        </w:rPr>
        <w:t>n, mostrando una ligera recuperaci</w:t>
      </w:r>
      <w:r w:rsidRPr="00F44E49">
        <w:rPr>
          <w:rFonts w:ascii="Courier New" w:hAnsi="Courier New" w:cs="Courier New"/>
          <w:sz w:val="22"/>
          <w:szCs w:val="22"/>
        </w:rPr>
        <w:t>ó</w:t>
      </w:r>
      <w:r w:rsidRPr="00F44E49">
        <w:rPr>
          <w:sz w:val="22"/>
          <w:szCs w:val="22"/>
        </w:rPr>
        <w:t>n, mientras que el sector terciario mantuvo su peso estructural con el 59.3</w:t>
      </w:r>
      <w:r w:rsidRPr="00F44E49">
        <w:rPr>
          <w:rFonts w:ascii="Cambria Math" w:hAnsi="Cambria Math" w:cs="Cambria Math"/>
          <w:sz w:val="22"/>
          <w:szCs w:val="22"/>
        </w:rPr>
        <w:t> </w:t>
      </w:r>
      <w:r w:rsidRPr="00F44E49">
        <w:rPr>
          <w:sz w:val="22"/>
          <w:szCs w:val="22"/>
        </w:rPr>
        <w:t>% de los empleos, destacando el comercio como una de las ramas de mayor absorción laboral.</w:t>
      </w:r>
    </w:p>
    <w:p w14:paraId="2D3D7A9E" w14:textId="77777777" w:rsidR="002B0869" w:rsidRPr="00F44E49" w:rsidRDefault="002B0869" w:rsidP="002B0869">
      <w:pPr>
        <w:spacing w:before="0" w:after="0"/>
        <w:rPr>
          <w:sz w:val="22"/>
          <w:szCs w:val="22"/>
        </w:rPr>
      </w:pPr>
    </w:p>
    <w:p w14:paraId="2A95C1B6" w14:textId="77777777" w:rsidR="002B0869" w:rsidRDefault="002B0869" w:rsidP="002B0869">
      <w:pPr>
        <w:spacing w:before="0" w:after="0"/>
        <w:rPr>
          <w:sz w:val="22"/>
          <w:szCs w:val="22"/>
        </w:rPr>
      </w:pPr>
      <w:r w:rsidRPr="00F44E49">
        <w:rPr>
          <w:sz w:val="22"/>
          <w:szCs w:val="22"/>
        </w:rPr>
        <w:t xml:space="preserve">Finalmente, se observó un incremento en la proporción de trabajadores empleados en </w:t>
      </w:r>
      <w:proofErr w:type="spellStart"/>
      <w:r w:rsidRPr="00F44E49">
        <w:rPr>
          <w:sz w:val="22"/>
          <w:szCs w:val="22"/>
        </w:rPr>
        <w:t>micronegocios</w:t>
      </w:r>
      <w:proofErr w:type="spellEnd"/>
      <w:r w:rsidRPr="00F44E49">
        <w:rPr>
          <w:sz w:val="22"/>
          <w:szCs w:val="22"/>
        </w:rPr>
        <w:t xml:space="preserve"> dentro del sector no agropecuario, los cuales concentraron al 60.2</w:t>
      </w:r>
      <w:r w:rsidRPr="00F44E49">
        <w:rPr>
          <w:rFonts w:ascii="Cambria Math" w:hAnsi="Cambria Math" w:cs="Cambria Math"/>
          <w:sz w:val="22"/>
          <w:szCs w:val="22"/>
        </w:rPr>
        <w:t> </w:t>
      </w:r>
      <w:r w:rsidRPr="00F44E49">
        <w:rPr>
          <w:sz w:val="22"/>
          <w:szCs w:val="22"/>
        </w:rPr>
        <w:t>% de la poblaci</w:t>
      </w:r>
      <w:r w:rsidRPr="00F44E49">
        <w:rPr>
          <w:rFonts w:ascii="Courier New" w:hAnsi="Courier New" w:cs="Courier New"/>
          <w:sz w:val="22"/>
          <w:szCs w:val="22"/>
        </w:rPr>
        <w:t>ó</w:t>
      </w:r>
      <w:r w:rsidRPr="00F44E49">
        <w:rPr>
          <w:sz w:val="22"/>
          <w:szCs w:val="22"/>
        </w:rPr>
        <w:t>n ocupada. Este fen</w:t>
      </w:r>
      <w:r w:rsidRPr="00F44E49">
        <w:rPr>
          <w:rFonts w:ascii="Courier New" w:hAnsi="Courier New" w:cs="Courier New"/>
          <w:sz w:val="22"/>
          <w:szCs w:val="22"/>
        </w:rPr>
        <w:t>ó</w:t>
      </w:r>
      <w:r w:rsidRPr="00F44E49">
        <w:rPr>
          <w:sz w:val="22"/>
          <w:szCs w:val="22"/>
        </w:rPr>
        <w:t>meno sugiere una tendencia hacia empleos de menor escala, posiblemente relacionados con el autoempleo o actividades de subsistencia.</w:t>
      </w:r>
    </w:p>
    <w:p w14:paraId="4E353371" w14:textId="77777777" w:rsidR="002B0869" w:rsidRPr="00F44E49" w:rsidRDefault="002B0869" w:rsidP="002B0869">
      <w:pPr>
        <w:spacing w:before="0" w:after="0"/>
        <w:rPr>
          <w:sz w:val="22"/>
          <w:szCs w:val="22"/>
        </w:rPr>
      </w:pPr>
    </w:p>
    <w:p w14:paraId="6A034519" w14:textId="77777777" w:rsidR="002B0869" w:rsidRPr="00F44E49" w:rsidRDefault="002B0869" w:rsidP="002B0869">
      <w:pPr>
        <w:spacing w:before="0" w:after="0"/>
        <w:rPr>
          <w:sz w:val="22"/>
          <w:szCs w:val="22"/>
        </w:rPr>
      </w:pPr>
      <w:r w:rsidRPr="00F44E49">
        <w:rPr>
          <w:sz w:val="22"/>
          <w:szCs w:val="22"/>
        </w:rPr>
        <w:t>Expuesto lo anterior podemos concluir que el panorama laboral de Michoacán durante el primer trimestre de 2025 se caracterizó por una estabilidad aparente en la tasa de desocupación, pero con una menor participación de la población en el mercado laboral y una creciente informalidad. Estos factores reflejan desafíos estructurales que deben ser atendidos mediante políticas públicas orientadas a mejorar la calidad del empleo, incentivar la formalización y promover una mayor inclusión de la población económicamente inactiva.</w:t>
      </w:r>
    </w:p>
    <w:p w14:paraId="1A7EC220" w14:textId="77777777" w:rsidR="002B0869" w:rsidRPr="004F06F2" w:rsidRDefault="002B0869" w:rsidP="002B0869">
      <w:pPr>
        <w:spacing w:before="0" w:after="0"/>
        <w:rPr>
          <w:rFonts w:eastAsia="Calibri" w:cs="Times New Roman"/>
          <w:sz w:val="22"/>
          <w:szCs w:val="22"/>
        </w:rPr>
      </w:pPr>
    </w:p>
    <w:p w14:paraId="0BEA0AA3"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3.</w:t>
      </w:r>
      <w:r w:rsidRPr="004F06F2">
        <w:rPr>
          <w:rFonts w:eastAsia="Calibri" w:cs="Times New Roman"/>
          <w:b/>
          <w:sz w:val="22"/>
          <w:szCs w:val="22"/>
        </w:rPr>
        <w:tab/>
        <w:t>Organización y Objeto Social</w:t>
      </w:r>
    </w:p>
    <w:p w14:paraId="2CA6CDDB" w14:textId="77777777" w:rsidR="002B0869" w:rsidRPr="004F06F2" w:rsidRDefault="002B0869" w:rsidP="002B0869">
      <w:pPr>
        <w:spacing w:before="0" w:after="0"/>
        <w:rPr>
          <w:rFonts w:eastAsia="Calibri" w:cs="Times New Roman"/>
          <w:sz w:val="22"/>
          <w:szCs w:val="22"/>
        </w:rPr>
      </w:pPr>
    </w:p>
    <w:p w14:paraId="16341EB5"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Se informa sobre:</w:t>
      </w:r>
    </w:p>
    <w:p w14:paraId="688AB88E" w14:textId="77777777" w:rsidR="002B0869" w:rsidRPr="004F06F2" w:rsidRDefault="002B0869" w:rsidP="002B0869">
      <w:pPr>
        <w:spacing w:before="0" w:after="0"/>
        <w:ind w:firstLine="360"/>
        <w:rPr>
          <w:rFonts w:eastAsia="Calibri" w:cs="Times New Roman"/>
          <w:b/>
          <w:bCs/>
          <w:sz w:val="22"/>
          <w:szCs w:val="22"/>
        </w:rPr>
      </w:pPr>
    </w:p>
    <w:p w14:paraId="2CD6FF45" w14:textId="77777777" w:rsidR="002B0869" w:rsidRPr="004F06F2" w:rsidRDefault="002B0869" w:rsidP="002B0869">
      <w:pPr>
        <w:spacing w:before="0" w:after="0"/>
        <w:ind w:firstLine="360"/>
        <w:rPr>
          <w:rFonts w:eastAsia="Calibri" w:cs="Times New Roman"/>
          <w:b/>
          <w:bCs/>
          <w:sz w:val="22"/>
          <w:szCs w:val="22"/>
        </w:rPr>
      </w:pPr>
      <w:r w:rsidRPr="004F06F2">
        <w:rPr>
          <w:rFonts w:eastAsia="Calibri" w:cs="Times New Roman"/>
          <w:b/>
          <w:bCs/>
          <w:sz w:val="22"/>
          <w:szCs w:val="22"/>
        </w:rPr>
        <w:t>a) Objeto Social</w:t>
      </w:r>
    </w:p>
    <w:p w14:paraId="4F0BD22E" w14:textId="77777777" w:rsidR="002B0869" w:rsidRPr="004F06F2" w:rsidRDefault="002B0869" w:rsidP="002B0869">
      <w:pPr>
        <w:spacing w:before="0" w:after="0"/>
        <w:rPr>
          <w:rFonts w:eastAsia="Calibri" w:cs="Times New Roman"/>
          <w:sz w:val="22"/>
          <w:szCs w:val="22"/>
        </w:rPr>
      </w:pPr>
    </w:p>
    <w:p w14:paraId="138B1FEE"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 xml:space="preserve">El Gobierno de Michoacán tiene como objetivo </w:t>
      </w:r>
      <w:r>
        <w:rPr>
          <w:rFonts w:eastAsia="Calibri" w:cs="Times New Roman"/>
          <w:sz w:val="22"/>
          <w:szCs w:val="22"/>
        </w:rPr>
        <w:t>la administración pública, el manejo de la hacienda pública, recaudando los ingresos estatales y destinándolos al gasto público, para</w:t>
      </w:r>
      <w:r w:rsidRPr="004F06F2">
        <w:rPr>
          <w:rFonts w:eastAsia="Calibri" w:cs="Times New Roman"/>
          <w:sz w:val="22"/>
          <w:szCs w:val="22"/>
        </w:rPr>
        <w:t xml:space="preserve"> coadyuvar en la generación del bienestar de las personas en el Estado de Michoacán de Ocampo, con particular atención a los grupos históricamente vulnerados, considerando las diferencias, por edad, sexo, orientación sexual, discapacidad, etnias y vulnerabilidad económica y cualquier otra forma de vulnerabilidad; a fin de promover condiciones que permitan aumentar su grado de inclusión y equidad en la sociedad a través del diseño y ejecución de programas para el bienestar.</w:t>
      </w:r>
    </w:p>
    <w:p w14:paraId="5B54B28B" w14:textId="77777777" w:rsidR="002B0869" w:rsidRPr="004F06F2" w:rsidRDefault="002B0869" w:rsidP="002B0869">
      <w:pPr>
        <w:spacing w:before="0" w:after="0"/>
        <w:rPr>
          <w:rFonts w:eastAsia="Calibri" w:cs="Times New Roman"/>
          <w:sz w:val="22"/>
          <w:szCs w:val="22"/>
        </w:rPr>
      </w:pPr>
    </w:p>
    <w:p w14:paraId="5B526A77"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Lo anterior con la visión de consolidar al Gobierno de Michoacán como un gobierno donde el bienestar de su población sea el eje rector de las políticas y programas públicos, a fin de que todas las personas y en especial los grupos históricamente vulnerados, puedan ejercer y acceder de manera efectiva y directa a sus derechos.</w:t>
      </w:r>
    </w:p>
    <w:p w14:paraId="03CB4D9F" w14:textId="77777777" w:rsidR="002B0869" w:rsidRPr="00FC64E0" w:rsidRDefault="002B0869" w:rsidP="002B0869">
      <w:pPr>
        <w:spacing w:before="0" w:after="0"/>
        <w:rPr>
          <w:rFonts w:eastAsia="Calibri" w:cs="Times New Roman"/>
          <w:sz w:val="22"/>
          <w:szCs w:val="22"/>
        </w:rPr>
      </w:pPr>
    </w:p>
    <w:p w14:paraId="296D7FF0" w14:textId="77777777" w:rsidR="002B0869" w:rsidRDefault="002B0869" w:rsidP="002B0869">
      <w:pPr>
        <w:spacing w:before="0" w:after="0"/>
        <w:ind w:firstLine="360"/>
        <w:rPr>
          <w:rFonts w:eastAsia="Calibri" w:cs="Times New Roman"/>
          <w:b/>
          <w:bCs/>
          <w:sz w:val="22"/>
          <w:szCs w:val="22"/>
        </w:rPr>
      </w:pPr>
      <w:r>
        <w:rPr>
          <w:rFonts w:eastAsia="Calibri" w:cs="Times New Roman"/>
          <w:b/>
          <w:bCs/>
          <w:sz w:val="22"/>
          <w:szCs w:val="22"/>
        </w:rPr>
        <w:t>b)  Principal Actividad:</w:t>
      </w:r>
    </w:p>
    <w:p w14:paraId="68D1F659" w14:textId="77777777" w:rsidR="002B0869" w:rsidRPr="00FA7516" w:rsidRDefault="002B0869" w:rsidP="002B0869">
      <w:pPr>
        <w:spacing w:before="0" w:after="0"/>
        <w:ind w:firstLine="360"/>
        <w:rPr>
          <w:rFonts w:eastAsia="Calibri" w:cs="Times New Roman"/>
          <w:b/>
          <w:bCs/>
          <w:sz w:val="22"/>
          <w:szCs w:val="22"/>
        </w:rPr>
      </w:pPr>
    </w:p>
    <w:p w14:paraId="59E49E34" w14:textId="77777777" w:rsidR="002B0869" w:rsidRPr="004F06F2" w:rsidRDefault="002B0869" w:rsidP="002B0869">
      <w:pPr>
        <w:rPr>
          <w:rFonts w:eastAsia="Calibri" w:cs="Times New Roman"/>
          <w:sz w:val="22"/>
          <w:szCs w:val="22"/>
        </w:rPr>
      </w:pPr>
      <w:r w:rsidRPr="004F06F2">
        <w:rPr>
          <w:rFonts w:eastAsia="Calibri" w:cs="Times New Roman"/>
          <w:sz w:val="22"/>
          <w:szCs w:val="22"/>
        </w:rPr>
        <w:t>Administrar con calidad y eficiencia el sistema de ingresos, el ejercicio del gasto y la deuda pública, aplicando correcta y equitativamente las leyes y normas vigentes y contribuyendo el desarrollo económico del Estado.</w:t>
      </w:r>
    </w:p>
    <w:p w14:paraId="329623FB" w14:textId="77777777" w:rsidR="002B0869" w:rsidRPr="004F06F2" w:rsidRDefault="002B0869" w:rsidP="002B0869">
      <w:pPr>
        <w:spacing w:before="0" w:after="0"/>
        <w:ind w:firstLine="360"/>
        <w:rPr>
          <w:rFonts w:eastAsia="Calibri" w:cs="Times New Roman"/>
          <w:b/>
          <w:bCs/>
          <w:sz w:val="22"/>
          <w:szCs w:val="22"/>
        </w:rPr>
      </w:pPr>
    </w:p>
    <w:p w14:paraId="44EF2E06" w14:textId="77777777" w:rsidR="002B0869" w:rsidRPr="004F06F2" w:rsidRDefault="002B0869" w:rsidP="002B0869">
      <w:pPr>
        <w:spacing w:before="0" w:after="0"/>
        <w:ind w:firstLine="360"/>
        <w:rPr>
          <w:rFonts w:eastAsia="Calibri" w:cs="Times New Roman"/>
          <w:b/>
          <w:bCs/>
          <w:sz w:val="22"/>
          <w:szCs w:val="22"/>
        </w:rPr>
      </w:pPr>
      <w:r w:rsidRPr="004F06F2">
        <w:rPr>
          <w:rFonts w:eastAsia="Calibri" w:cs="Times New Roman"/>
          <w:b/>
          <w:bCs/>
          <w:sz w:val="22"/>
          <w:szCs w:val="22"/>
        </w:rPr>
        <w:t>c) Ejercicio Fiscal</w:t>
      </w:r>
    </w:p>
    <w:p w14:paraId="26C56DDA" w14:textId="77777777" w:rsidR="002B0869" w:rsidRDefault="002B0869" w:rsidP="002B0869">
      <w:pPr>
        <w:rPr>
          <w:rFonts w:eastAsia="Calibri" w:cs="Times New Roman"/>
          <w:sz w:val="22"/>
          <w:szCs w:val="22"/>
        </w:rPr>
      </w:pPr>
      <w:r w:rsidRPr="004F06F2">
        <w:rPr>
          <w:rFonts w:eastAsia="Calibri" w:cs="Times New Roman"/>
          <w:sz w:val="22"/>
          <w:szCs w:val="22"/>
        </w:rPr>
        <w:t xml:space="preserve">Se informa el periodo del 1 de </w:t>
      </w:r>
      <w:r>
        <w:rPr>
          <w:rFonts w:eastAsia="Calibri" w:cs="Times New Roman"/>
          <w:sz w:val="22"/>
          <w:szCs w:val="22"/>
        </w:rPr>
        <w:t>enero</w:t>
      </w:r>
      <w:r w:rsidRPr="004F06F2">
        <w:rPr>
          <w:rFonts w:eastAsia="Calibri" w:cs="Times New Roman"/>
          <w:sz w:val="22"/>
          <w:szCs w:val="22"/>
        </w:rPr>
        <w:t xml:space="preserve"> al 3</w:t>
      </w:r>
      <w:r>
        <w:rPr>
          <w:rFonts w:eastAsia="Calibri" w:cs="Times New Roman"/>
          <w:sz w:val="22"/>
          <w:szCs w:val="22"/>
        </w:rPr>
        <w:t>0</w:t>
      </w:r>
      <w:r w:rsidRPr="004F06F2">
        <w:rPr>
          <w:rFonts w:eastAsia="Calibri" w:cs="Times New Roman"/>
          <w:sz w:val="22"/>
          <w:szCs w:val="22"/>
        </w:rPr>
        <w:t xml:space="preserve"> de </w:t>
      </w:r>
      <w:r>
        <w:rPr>
          <w:rFonts w:eastAsia="Calibri" w:cs="Times New Roman"/>
          <w:sz w:val="22"/>
          <w:szCs w:val="22"/>
        </w:rPr>
        <w:t>junio</w:t>
      </w:r>
      <w:r w:rsidRPr="004F06F2">
        <w:rPr>
          <w:rFonts w:eastAsia="Calibri" w:cs="Times New Roman"/>
          <w:sz w:val="22"/>
          <w:szCs w:val="22"/>
        </w:rPr>
        <w:t xml:space="preserve"> de 202</w:t>
      </w:r>
      <w:r>
        <w:rPr>
          <w:rFonts w:eastAsia="Calibri" w:cs="Times New Roman"/>
          <w:sz w:val="22"/>
          <w:szCs w:val="22"/>
        </w:rPr>
        <w:t>5</w:t>
      </w:r>
      <w:r w:rsidRPr="004F06F2">
        <w:rPr>
          <w:rFonts w:eastAsia="Calibri" w:cs="Times New Roman"/>
          <w:sz w:val="22"/>
          <w:szCs w:val="22"/>
        </w:rPr>
        <w:t>.</w:t>
      </w:r>
    </w:p>
    <w:p w14:paraId="7F141D95" w14:textId="77777777" w:rsidR="002B0869" w:rsidRPr="00567362" w:rsidRDefault="002B0869" w:rsidP="002B0869">
      <w:pPr>
        <w:rPr>
          <w:rFonts w:eastAsia="Calibri" w:cs="Times New Roman"/>
          <w:sz w:val="22"/>
          <w:szCs w:val="22"/>
        </w:rPr>
      </w:pPr>
    </w:p>
    <w:p w14:paraId="41BFD1B8" w14:textId="77777777" w:rsidR="002B0869" w:rsidRPr="004F06F2" w:rsidRDefault="002B0869" w:rsidP="002B0869">
      <w:pPr>
        <w:spacing w:before="0" w:after="0"/>
        <w:ind w:firstLine="360"/>
        <w:rPr>
          <w:rFonts w:eastAsia="Calibri" w:cs="Times New Roman"/>
          <w:b/>
          <w:bCs/>
          <w:sz w:val="22"/>
          <w:szCs w:val="22"/>
        </w:rPr>
      </w:pPr>
      <w:r w:rsidRPr="004F06F2">
        <w:rPr>
          <w:rFonts w:eastAsia="Calibri" w:cs="Times New Roman"/>
          <w:b/>
          <w:bCs/>
          <w:sz w:val="22"/>
          <w:szCs w:val="22"/>
        </w:rPr>
        <w:t>d) Régimen Jurídico</w:t>
      </w:r>
    </w:p>
    <w:p w14:paraId="76DD4B98" w14:textId="77777777" w:rsidR="002B0869" w:rsidRPr="004F06F2" w:rsidRDefault="002B0869" w:rsidP="002B0869">
      <w:pPr>
        <w:spacing w:before="0" w:after="0"/>
        <w:ind w:firstLine="360"/>
        <w:rPr>
          <w:rFonts w:eastAsia="Calibri" w:cs="Times New Roman"/>
          <w:b/>
          <w:bCs/>
          <w:sz w:val="22"/>
          <w:szCs w:val="22"/>
        </w:rPr>
      </w:pPr>
    </w:p>
    <w:p w14:paraId="22A9F890"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 xml:space="preserve">El Estado de Michoacán es un estado independiente, libre y soberano, en lo que exclusivamente toque a su administración y gobierno interior, que forma parte de la Federación de Estados Independientes denominados Estados Unidos Mexicanos </w:t>
      </w:r>
      <w:r w:rsidRPr="004F06F2">
        <w:rPr>
          <w:sz w:val="22"/>
          <w:szCs w:val="22"/>
        </w:rPr>
        <w:t xml:space="preserve">y está constituido por la </w:t>
      </w:r>
      <w:r w:rsidRPr="004F06F2">
        <w:rPr>
          <w:sz w:val="22"/>
          <w:szCs w:val="22"/>
        </w:rPr>
        <w:lastRenderedPageBreak/>
        <w:t xml:space="preserve">porción de territorio nacional que le reconozcan la Constitución Federal, las leyes y los convenios. </w:t>
      </w:r>
    </w:p>
    <w:p w14:paraId="6DB166FB" w14:textId="77777777" w:rsidR="002B0869" w:rsidRDefault="002B0869" w:rsidP="002B0869">
      <w:pPr>
        <w:spacing w:before="0" w:after="0"/>
        <w:rPr>
          <w:sz w:val="22"/>
          <w:szCs w:val="22"/>
        </w:rPr>
      </w:pPr>
    </w:p>
    <w:p w14:paraId="49C88DA4" w14:textId="77777777" w:rsidR="002B0869" w:rsidRDefault="002B0869" w:rsidP="002B0869">
      <w:pPr>
        <w:spacing w:before="0" w:after="0"/>
        <w:rPr>
          <w:sz w:val="22"/>
          <w:szCs w:val="22"/>
        </w:rPr>
      </w:pPr>
      <w:r>
        <w:rPr>
          <w:sz w:val="22"/>
          <w:szCs w:val="22"/>
        </w:rPr>
        <w:t>El Código Civil Federal reconoce a los estados como personas morales, por lo que el Estado de Michoacán de Ocampo, se reconoce en materia civil como una persona moral.</w:t>
      </w:r>
    </w:p>
    <w:p w14:paraId="2DEE9A21" w14:textId="77777777" w:rsidR="002B0869" w:rsidRPr="004F06F2" w:rsidRDefault="002B0869" w:rsidP="002B0869">
      <w:pPr>
        <w:spacing w:before="0" w:after="0"/>
        <w:rPr>
          <w:sz w:val="22"/>
          <w:szCs w:val="22"/>
        </w:rPr>
      </w:pPr>
    </w:p>
    <w:p w14:paraId="359BBDC1" w14:textId="77777777" w:rsidR="002B0869" w:rsidRPr="004F06F2" w:rsidRDefault="002B0869" w:rsidP="002B0869">
      <w:pPr>
        <w:spacing w:before="0" w:after="0"/>
        <w:rPr>
          <w:sz w:val="22"/>
          <w:szCs w:val="22"/>
        </w:rPr>
      </w:pPr>
      <w:r w:rsidRPr="004F06F2">
        <w:rPr>
          <w:sz w:val="22"/>
          <w:szCs w:val="22"/>
        </w:rPr>
        <w:t>El Poder Público del Estado se divide para su ejercicio en Ejecutivo, Legislativo y Judicial, los cuales actuarán separada y libremente, pero cooperando, en forma armónica, a la realización de los fines del Estado.</w:t>
      </w:r>
    </w:p>
    <w:p w14:paraId="32CB5FD1" w14:textId="77777777" w:rsidR="002B0869" w:rsidRPr="004F06F2" w:rsidRDefault="002B0869" w:rsidP="002B0869">
      <w:pPr>
        <w:spacing w:before="0" w:after="0"/>
        <w:rPr>
          <w:sz w:val="22"/>
          <w:szCs w:val="22"/>
        </w:rPr>
      </w:pPr>
    </w:p>
    <w:p w14:paraId="3F27B270" w14:textId="77777777" w:rsidR="002B0869" w:rsidRPr="004F06F2" w:rsidRDefault="002B0869" w:rsidP="002B0869">
      <w:pPr>
        <w:spacing w:before="0" w:after="0"/>
        <w:rPr>
          <w:sz w:val="22"/>
          <w:szCs w:val="22"/>
        </w:rPr>
      </w:pPr>
      <w:r w:rsidRPr="004F06F2">
        <w:rPr>
          <w:sz w:val="22"/>
          <w:szCs w:val="22"/>
        </w:rPr>
        <w:t>Se deposita el ejercicio del Poder Legislativo en una asamblea que se denominará: Congreso del Estado de Michoacán de Ocampo.</w:t>
      </w:r>
    </w:p>
    <w:p w14:paraId="70F54089" w14:textId="77777777" w:rsidR="002B0869" w:rsidRDefault="002B0869" w:rsidP="002B0869">
      <w:pPr>
        <w:spacing w:before="0" w:after="0"/>
        <w:rPr>
          <w:rFonts w:eastAsia="Calibri" w:cs="Times New Roman"/>
          <w:b/>
          <w:bCs/>
          <w:sz w:val="22"/>
          <w:szCs w:val="22"/>
        </w:rPr>
      </w:pPr>
    </w:p>
    <w:p w14:paraId="0BB9BD69" w14:textId="77777777" w:rsidR="002B0869" w:rsidRPr="004F06F2" w:rsidRDefault="002B0869" w:rsidP="002B0869">
      <w:pPr>
        <w:spacing w:before="0" w:after="0"/>
        <w:ind w:firstLine="360"/>
        <w:rPr>
          <w:rFonts w:eastAsia="Calibri" w:cs="Times New Roman"/>
          <w:b/>
          <w:bCs/>
          <w:sz w:val="22"/>
          <w:szCs w:val="22"/>
        </w:rPr>
      </w:pPr>
      <w:r w:rsidRPr="004F06F2">
        <w:rPr>
          <w:rFonts w:eastAsia="Calibri" w:cs="Times New Roman"/>
          <w:b/>
          <w:bCs/>
          <w:sz w:val="22"/>
          <w:szCs w:val="22"/>
        </w:rPr>
        <w:t>e). Consideraciones fiscales del ente: revelar el tipo de contribuciones que esté obligado a pagar o retener.</w:t>
      </w:r>
    </w:p>
    <w:p w14:paraId="6FA41F83" w14:textId="77777777" w:rsidR="002B0869" w:rsidRPr="004F06F2" w:rsidRDefault="002B0869" w:rsidP="002B0869">
      <w:pPr>
        <w:spacing w:before="0" w:after="0"/>
        <w:rPr>
          <w:rFonts w:eastAsia="Calibri" w:cs="Times New Roman"/>
          <w:sz w:val="22"/>
          <w:szCs w:val="22"/>
        </w:rPr>
      </w:pPr>
    </w:p>
    <w:p w14:paraId="0659D18A"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Por lo que se refiere a las obligaciones fiscales federales que tiene el Gobierno del Estado,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Régimen Simplificado de Confianza e Ingresos por Arrendamiento de Bienes Inmuebles y en General por Otorgar el Uso o Goce Temporal de Bienes Inmuebles, respectivamente.</w:t>
      </w:r>
    </w:p>
    <w:p w14:paraId="3EC852CE" w14:textId="77777777" w:rsidR="002B0869" w:rsidRPr="004F06F2" w:rsidRDefault="002B0869" w:rsidP="002B0869">
      <w:pPr>
        <w:spacing w:before="0" w:after="0"/>
        <w:ind w:left="709"/>
        <w:rPr>
          <w:rFonts w:eastAsia="Calibri" w:cs="Times New Roman"/>
          <w:sz w:val="22"/>
          <w:szCs w:val="22"/>
        </w:rPr>
      </w:pPr>
    </w:p>
    <w:p w14:paraId="261D811A"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El Gobierno del Estado Libre y Soberano de Michoacán de Ocampo, es sujeto indirecto del Impuesto al Valor Agregado, es decir, está obligado a aceptar la traslación de dicho impuesto en la adquisición de bienes y servicios, considerándolo como parte integrante del costo y registrándolo como gasto o inversión según corresponda.</w:t>
      </w:r>
    </w:p>
    <w:p w14:paraId="54EE9B3C" w14:textId="77777777" w:rsidR="002B0869" w:rsidRPr="004F06F2" w:rsidRDefault="002B0869" w:rsidP="002B0869">
      <w:pPr>
        <w:spacing w:before="0" w:after="0"/>
        <w:rPr>
          <w:rFonts w:eastAsia="Calibri" w:cs="Times New Roman"/>
          <w:sz w:val="22"/>
          <w:szCs w:val="22"/>
        </w:rPr>
      </w:pPr>
    </w:p>
    <w:p w14:paraId="60C63000"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Así mismo, el Estado es sujeto de las Contribuciones de Seguridad Social, con motivo de la relación laboral que mantiene con los trabajadores a su servicio, tanto a favor del Instituto Mexicano del Seguro Social,</w:t>
      </w:r>
      <w:r w:rsidRPr="004F06F2">
        <w:t xml:space="preserve"> </w:t>
      </w:r>
      <w:r w:rsidRPr="004F06F2">
        <w:rPr>
          <w:rFonts w:eastAsia="Calibri" w:cs="Times New Roman"/>
          <w:sz w:val="22"/>
          <w:szCs w:val="22"/>
        </w:rPr>
        <w:t>la Dirección de Pensiones Civiles del Estado, como del Instituto de Seguridad y Servicios Sociales de los Trabajadores del Estado, conforme a las disposiciones legales aplicables y los convenios respectivos.</w:t>
      </w:r>
    </w:p>
    <w:p w14:paraId="2E2C5CB9" w14:textId="77777777" w:rsidR="002B0869" w:rsidRPr="004F06F2" w:rsidRDefault="002B0869" w:rsidP="002B0869">
      <w:pPr>
        <w:spacing w:before="0" w:after="0"/>
        <w:rPr>
          <w:rFonts w:eastAsia="Calibri" w:cs="Times New Roman"/>
          <w:sz w:val="22"/>
          <w:szCs w:val="22"/>
        </w:rPr>
      </w:pPr>
    </w:p>
    <w:p w14:paraId="76EDEE2F"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Igualmente, es sujeto de diversas contribuciones locales, tales como: el Impuesto Predial por aquellos inmuebles de dominio privado y el de Adquisición de Bienes Inmueble</w:t>
      </w:r>
      <w:r>
        <w:rPr>
          <w:rFonts w:eastAsia="Calibri" w:cs="Times New Roman"/>
          <w:sz w:val="22"/>
          <w:szCs w:val="22"/>
        </w:rPr>
        <w:t>s</w:t>
      </w:r>
      <w:r w:rsidRPr="004F06F2">
        <w:rPr>
          <w:rFonts w:eastAsia="Calibri" w:cs="Times New Roman"/>
          <w:sz w:val="22"/>
          <w:szCs w:val="22"/>
        </w:rPr>
        <w:t xml:space="preserve"> al realizar compras para su uso de dominio privado; y del Impuesto sobre Erogaciones por Remuneración al Trabajo Personal Prestado Bajo la Dirección y Dependencia de un Patrón, entre otros.</w:t>
      </w:r>
    </w:p>
    <w:p w14:paraId="20D77E22" w14:textId="77777777" w:rsidR="002B0869" w:rsidRPr="004F06F2" w:rsidRDefault="002B0869" w:rsidP="002B0869">
      <w:pPr>
        <w:spacing w:before="0" w:after="0"/>
        <w:ind w:firstLine="360"/>
        <w:rPr>
          <w:rFonts w:eastAsia="Calibri" w:cs="Times New Roman"/>
          <w:sz w:val="22"/>
          <w:szCs w:val="22"/>
        </w:rPr>
      </w:pPr>
    </w:p>
    <w:p w14:paraId="060E97FA" w14:textId="77777777" w:rsidR="002B0869" w:rsidRPr="004F06F2" w:rsidRDefault="002B0869" w:rsidP="002B0869">
      <w:pPr>
        <w:spacing w:before="0" w:after="0"/>
        <w:ind w:firstLine="360"/>
        <w:rPr>
          <w:rFonts w:eastAsia="Calibri" w:cs="Times New Roman"/>
          <w:b/>
          <w:bCs/>
          <w:sz w:val="22"/>
          <w:szCs w:val="22"/>
        </w:rPr>
      </w:pPr>
      <w:r w:rsidRPr="004F06F2">
        <w:rPr>
          <w:rFonts w:eastAsia="Calibri" w:cs="Times New Roman"/>
          <w:b/>
          <w:bCs/>
          <w:sz w:val="22"/>
          <w:szCs w:val="22"/>
        </w:rPr>
        <w:t>f) Estructura organizacional básica</w:t>
      </w:r>
    </w:p>
    <w:p w14:paraId="78E8F914" w14:textId="77777777" w:rsidR="002B0869" w:rsidRPr="004F06F2" w:rsidRDefault="002B0869" w:rsidP="002B0869">
      <w:pPr>
        <w:spacing w:before="0" w:after="0"/>
        <w:rPr>
          <w:rFonts w:eastAsia="Calibri" w:cs="Times New Roman"/>
          <w:sz w:val="22"/>
          <w:szCs w:val="22"/>
        </w:rPr>
      </w:pPr>
    </w:p>
    <w:p w14:paraId="1CA87B5D"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El gobierno del Estado de Michoacán tiene al Frente a un Gobernador, el cual es el titular del Poder Ejecutivo que a su vez cuenta con Dependencias centralizadas, desconcentradas y entidades paraestatales, de conformidad con la normativa aplicable.</w:t>
      </w:r>
    </w:p>
    <w:p w14:paraId="06916572" w14:textId="77777777" w:rsidR="002B0869" w:rsidRPr="004F06F2" w:rsidRDefault="002B0869" w:rsidP="002B0869">
      <w:pPr>
        <w:spacing w:before="0" w:after="0"/>
        <w:rPr>
          <w:rFonts w:eastAsia="Calibri" w:cs="Times New Roman"/>
          <w:sz w:val="22"/>
          <w:szCs w:val="22"/>
        </w:rPr>
      </w:pPr>
    </w:p>
    <w:p w14:paraId="12ED84E8"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Las Dependencias centralizadas forman parte de la estructura organizacional y sirven para el despacho de los negocios del orden administrativo encomendados al Gobernador, como se detallan a continuación:</w:t>
      </w:r>
    </w:p>
    <w:p w14:paraId="3D107E7D" w14:textId="77777777" w:rsidR="002B0869" w:rsidRPr="005D257C" w:rsidRDefault="002B0869" w:rsidP="002B0869">
      <w:pPr>
        <w:spacing w:before="0" w:after="0"/>
        <w:rPr>
          <w:rFonts w:eastAsia="Calibri" w:cs="Times New Roman"/>
          <w:sz w:val="22"/>
          <w:szCs w:val="22"/>
        </w:rPr>
      </w:pPr>
      <w:r>
        <w:rPr>
          <w:rFonts w:eastAsia="Calibri" w:cs="Times New Roman"/>
          <w:sz w:val="22"/>
          <w:szCs w:val="22"/>
        </w:rPr>
        <w:t xml:space="preserve">- </w:t>
      </w:r>
      <w:r w:rsidRPr="005D257C">
        <w:rPr>
          <w:rFonts w:eastAsia="Calibri" w:cs="Times New Roman"/>
          <w:sz w:val="22"/>
          <w:szCs w:val="22"/>
        </w:rPr>
        <w:t>Secretaría de Gobierno;</w:t>
      </w:r>
    </w:p>
    <w:p w14:paraId="3CD162D1"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Finanzas y Administración;</w:t>
      </w:r>
    </w:p>
    <w:p w14:paraId="47C8CADC"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Comunicaciones y Obras Públicas;</w:t>
      </w:r>
    </w:p>
    <w:p w14:paraId="7D1B3914"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Agricultura y Desarrollo Rural;</w:t>
      </w:r>
    </w:p>
    <w:p w14:paraId="1869A855"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Desarrollo Económico;</w:t>
      </w:r>
    </w:p>
    <w:p w14:paraId="286B864B"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Turismo;</w:t>
      </w:r>
    </w:p>
    <w:p w14:paraId="400BB4AD"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Educación;</w:t>
      </w:r>
    </w:p>
    <w:p w14:paraId="1C1F2AFD"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del Migrante;</w:t>
      </w:r>
    </w:p>
    <w:p w14:paraId="72C0F317"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Seguridad Pública;</w:t>
      </w:r>
    </w:p>
    <w:p w14:paraId="6F3AA89F"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lastRenderedPageBreak/>
        <w:t>- Secretaría de Contraloría;</w:t>
      </w:r>
    </w:p>
    <w:p w14:paraId="3863D1ED"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del Bienestar;</w:t>
      </w:r>
    </w:p>
    <w:p w14:paraId="687935CE"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Cultura;</w:t>
      </w:r>
    </w:p>
    <w:p w14:paraId="0D120F55"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Secretariado Ejecutivo del Sistema Estatal de Seguridad Pública;</w:t>
      </w:r>
    </w:p>
    <w:p w14:paraId="08E2EE26"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Procuraduría de Protección al Ambiente del Estado de Michoacán de Ocampo;</w:t>
      </w:r>
    </w:p>
    <w:p w14:paraId="04D6D91D"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Tribunal de Conciliación y Arbitraje;</w:t>
      </w:r>
    </w:p>
    <w:p w14:paraId="4153CE94"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Igualdad Sustantiva y Desarrollo de las Mujeres Michoacanas.</w:t>
      </w:r>
    </w:p>
    <w:p w14:paraId="4728E193"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xml:space="preserve">- Secretaría Ejecutiva del Sistema Estatal </w:t>
      </w:r>
      <w:r>
        <w:rPr>
          <w:rFonts w:eastAsia="Calibri" w:cs="Times New Roman"/>
          <w:sz w:val="22"/>
          <w:szCs w:val="22"/>
        </w:rPr>
        <w:t xml:space="preserve">de protección Integral de Niñas, </w:t>
      </w:r>
      <w:r w:rsidRPr="005D257C">
        <w:rPr>
          <w:rFonts w:eastAsia="Calibri" w:cs="Times New Roman"/>
          <w:sz w:val="22"/>
          <w:szCs w:val="22"/>
        </w:rPr>
        <w:t>Niños y Adolescentes de Michoacán;</w:t>
      </w:r>
    </w:p>
    <w:p w14:paraId="0662AE21"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Coordinación del Sistema Penitenciario del estado de Michoacán de Ocampo;</w:t>
      </w:r>
    </w:p>
    <w:p w14:paraId="12BEE6C8"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 Desarrollo Urbano y Movilidad;</w:t>
      </w:r>
    </w:p>
    <w:p w14:paraId="40A84260"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Secretaría del Medio Ambiente;</w:t>
      </w:r>
    </w:p>
    <w:p w14:paraId="12072DCD"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Centro Estatal para el desarrollo Municipal;</w:t>
      </w:r>
    </w:p>
    <w:p w14:paraId="3874CB8B"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xml:space="preserve">- Servicio de Administración Tributaria del Estado de Michoacán; </w:t>
      </w:r>
      <w:r>
        <w:rPr>
          <w:rFonts w:eastAsia="Calibri" w:cs="Times New Roman"/>
          <w:sz w:val="22"/>
          <w:szCs w:val="22"/>
        </w:rPr>
        <w:t>e</w:t>
      </w:r>
      <w:r w:rsidRPr="005D257C">
        <w:rPr>
          <w:rFonts w:eastAsia="Calibri" w:cs="Times New Roman"/>
          <w:sz w:val="22"/>
          <w:szCs w:val="22"/>
        </w:rPr>
        <w:t>,</w:t>
      </w:r>
    </w:p>
    <w:p w14:paraId="73B16491" w14:textId="77777777" w:rsidR="002B0869" w:rsidRPr="005D257C" w:rsidRDefault="002B0869" w:rsidP="002B0869">
      <w:pPr>
        <w:spacing w:before="0" w:after="0"/>
        <w:rPr>
          <w:rFonts w:eastAsia="Calibri" w:cs="Times New Roman"/>
          <w:sz w:val="22"/>
          <w:szCs w:val="22"/>
        </w:rPr>
      </w:pPr>
      <w:r w:rsidRPr="005D257C">
        <w:rPr>
          <w:rFonts w:eastAsia="Calibri" w:cs="Times New Roman"/>
          <w:sz w:val="22"/>
          <w:szCs w:val="22"/>
        </w:rPr>
        <w:t>- Instituto del Transporte del Estado de Michoacán de Ocampo.</w:t>
      </w:r>
    </w:p>
    <w:p w14:paraId="776BFD0B" w14:textId="77777777" w:rsidR="002B0869" w:rsidRDefault="002B0869" w:rsidP="002B0869">
      <w:pPr>
        <w:spacing w:before="0" w:after="0"/>
        <w:rPr>
          <w:rFonts w:eastAsia="Calibri" w:cs="Times New Roman"/>
          <w:sz w:val="22"/>
          <w:szCs w:val="22"/>
        </w:rPr>
      </w:pPr>
    </w:p>
    <w:p w14:paraId="04D77E45"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 xml:space="preserve">Cada una de estas </w:t>
      </w:r>
      <w:r>
        <w:rPr>
          <w:rFonts w:eastAsia="Calibri" w:cs="Times New Roman"/>
          <w:sz w:val="22"/>
          <w:szCs w:val="22"/>
        </w:rPr>
        <w:t xml:space="preserve">Dependencias </w:t>
      </w:r>
      <w:r w:rsidRPr="004F06F2">
        <w:rPr>
          <w:rFonts w:eastAsia="Calibri" w:cs="Times New Roman"/>
          <w:sz w:val="22"/>
          <w:szCs w:val="22"/>
        </w:rPr>
        <w:t>está organizada de tal forma que permitan el correcto funcionamiento de la Administración Pública Estatal.</w:t>
      </w:r>
    </w:p>
    <w:p w14:paraId="43B3077F" w14:textId="77777777" w:rsidR="002B0869" w:rsidRPr="004F06F2" w:rsidRDefault="002B0869" w:rsidP="002B0869">
      <w:pPr>
        <w:spacing w:before="0" w:after="0"/>
        <w:rPr>
          <w:rFonts w:eastAsia="Calibri" w:cs="Times New Roman"/>
          <w:b/>
          <w:bCs/>
          <w:sz w:val="22"/>
          <w:szCs w:val="22"/>
        </w:rPr>
      </w:pPr>
    </w:p>
    <w:p w14:paraId="46337BA9" w14:textId="77777777" w:rsidR="002B0869" w:rsidRPr="004F06F2" w:rsidRDefault="002B0869" w:rsidP="002B0869">
      <w:pPr>
        <w:spacing w:before="0" w:after="0"/>
        <w:ind w:firstLine="360"/>
        <w:rPr>
          <w:rFonts w:eastAsia="Calibri" w:cs="Times New Roman"/>
          <w:b/>
          <w:bCs/>
          <w:sz w:val="22"/>
          <w:szCs w:val="22"/>
        </w:rPr>
      </w:pPr>
      <w:r w:rsidRPr="004F06F2">
        <w:rPr>
          <w:rFonts w:eastAsia="Calibri" w:cs="Times New Roman"/>
          <w:b/>
          <w:bCs/>
          <w:sz w:val="22"/>
          <w:szCs w:val="22"/>
        </w:rPr>
        <w:t>g) Fideicomisos, mandatos y análogos de los cuales es fideicomisario.</w:t>
      </w:r>
    </w:p>
    <w:p w14:paraId="401BEB25"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Los fideicomisos, mandatos y análogos de los cuales el Gobierno del Estado de Michoacán es fideicomisario, se detallan en el punto 6 de las Notas de desglose.</w:t>
      </w:r>
    </w:p>
    <w:p w14:paraId="0A18C1BD" w14:textId="77777777" w:rsidR="002B0869" w:rsidRPr="004F06F2" w:rsidRDefault="002B0869" w:rsidP="002B0869">
      <w:pPr>
        <w:spacing w:before="0" w:after="0"/>
        <w:rPr>
          <w:rFonts w:eastAsia="Calibri" w:cs="Times New Roman"/>
          <w:b/>
          <w:sz w:val="22"/>
          <w:szCs w:val="22"/>
        </w:rPr>
      </w:pPr>
    </w:p>
    <w:p w14:paraId="72CD1439" w14:textId="77777777" w:rsidR="002B0869" w:rsidRDefault="002B0869" w:rsidP="002B0869">
      <w:pPr>
        <w:spacing w:before="0" w:after="0"/>
        <w:rPr>
          <w:rFonts w:eastAsia="Calibri" w:cs="Times New Roman"/>
          <w:b/>
          <w:sz w:val="22"/>
          <w:szCs w:val="22"/>
        </w:rPr>
      </w:pPr>
      <w:r w:rsidRPr="004F06F2">
        <w:rPr>
          <w:rFonts w:eastAsia="Calibri" w:cs="Times New Roman"/>
          <w:b/>
          <w:sz w:val="22"/>
          <w:szCs w:val="22"/>
        </w:rPr>
        <w:t>4.</w:t>
      </w:r>
      <w:r w:rsidRPr="004F06F2">
        <w:rPr>
          <w:rFonts w:eastAsia="Calibri" w:cs="Times New Roman"/>
          <w:b/>
          <w:sz w:val="22"/>
          <w:szCs w:val="22"/>
        </w:rPr>
        <w:tab/>
        <w:t>Bases de Preparac</w:t>
      </w:r>
      <w:r>
        <w:rPr>
          <w:rFonts w:eastAsia="Calibri" w:cs="Times New Roman"/>
          <w:b/>
          <w:sz w:val="22"/>
          <w:szCs w:val="22"/>
        </w:rPr>
        <w:t>ión de los Estados Financieros.</w:t>
      </w:r>
    </w:p>
    <w:p w14:paraId="408DC11F" w14:textId="77777777" w:rsidR="002B0869" w:rsidRPr="00FA7516" w:rsidRDefault="002B0869" w:rsidP="002B0869">
      <w:pPr>
        <w:spacing w:before="0" w:after="0"/>
        <w:rPr>
          <w:rFonts w:eastAsia="Calibri" w:cs="Times New Roman"/>
          <w:b/>
          <w:sz w:val="22"/>
          <w:szCs w:val="22"/>
        </w:rPr>
      </w:pPr>
    </w:p>
    <w:p w14:paraId="1936AA31" w14:textId="77777777" w:rsidR="002B0869" w:rsidRDefault="002B0869" w:rsidP="002B0869">
      <w:pPr>
        <w:spacing w:before="0" w:after="0"/>
        <w:ind w:left="720"/>
        <w:rPr>
          <w:rFonts w:eastAsia="Calibri" w:cs="Times New Roman"/>
          <w:b/>
          <w:sz w:val="22"/>
          <w:szCs w:val="22"/>
        </w:rPr>
      </w:pPr>
      <w:r w:rsidRPr="004F06F2">
        <w:rPr>
          <w:rFonts w:eastAsia="Calibri" w:cs="Times New Roman"/>
          <w:b/>
          <w:sz w:val="22"/>
          <w:szCs w:val="22"/>
        </w:rPr>
        <w:t>a) Si se ha observado la normatividad emitida por el CONAC y las disposiciones legales aplicables.</w:t>
      </w:r>
    </w:p>
    <w:p w14:paraId="612BCACD" w14:textId="77777777" w:rsidR="002B0869" w:rsidRPr="004F06F2" w:rsidRDefault="002B0869" w:rsidP="002B0869">
      <w:pPr>
        <w:spacing w:before="0" w:after="0"/>
        <w:ind w:left="720"/>
        <w:rPr>
          <w:rFonts w:eastAsia="Calibri" w:cs="Times New Roman"/>
          <w:b/>
          <w:sz w:val="22"/>
          <w:szCs w:val="22"/>
        </w:rPr>
      </w:pPr>
    </w:p>
    <w:p w14:paraId="681012BB"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A partir de 2009 hasta la fecha, el Consejo Nacional de Armonización Contable ha emitido diversas disposiciones regulatorias en materia de contabilidad gubernamental estableciéndose</w:t>
      </w:r>
      <w:r w:rsidRPr="004F06F2">
        <w:rPr>
          <w:rFonts w:eastAsia="Calibri" w:cs="Times New Roman"/>
          <w:color w:val="C00000"/>
          <w:sz w:val="22"/>
          <w:szCs w:val="22"/>
        </w:rPr>
        <w:t xml:space="preserve"> </w:t>
      </w:r>
      <w:r w:rsidRPr="004F06F2">
        <w:rPr>
          <w:rFonts w:eastAsia="Calibri" w:cs="Times New Roman"/>
          <w:sz w:val="22"/>
          <w:szCs w:val="22"/>
        </w:rPr>
        <w:t xml:space="preserve">diversas fechas para el inicio de su aplicación efectiva. Consecuentemente a partir de las fechas señaladas, se tiene la obligación de emitir información contable, presupuestaria y programática sobre la base técnica prevista en los documentos técnico-contables siguientes: </w:t>
      </w:r>
    </w:p>
    <w:p w14:paraId="4BAB7E3A" w14:textId="77777777" w:rsidR="002B0869" w:rsidRPr="004F06F2" w:rsidRDefault="002B0869" w:rsidP="002B0869">
      <w:pPr>
        <w:spacing w:before="0" w:after="0"/>
        <w:rPr>
          <w:rFonts w:eastAsia="Calibri" w:cs="Times New Roman"/>
          <w:sz w:val="22"/>
          <w:szCs w:val="22"/>
        </w:rPr>
      </w:pPr>
    </w:p>
    <w:p w14:paraId="0D165F4D"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val="en-US" w:eastAsia="es-MX"/>
        </w:rPr>
        <w:t>Marco Conceptual</w:t>
      </w:r>
    </w:p>
    <w:p w14:paraId="2E52B37D"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 xml:space="preserve">Postulados Básicos de </w:t>
      </w:r>
      <w:proofErr w:type="spellStart"/>
      <w:r w:rsidRPr="004F06F2">
        <w:rPr>
          <w:rFonts w:eastAsia="Times New Roman" w:cs="Times New Roman"/>
          <w:sz w:val="22"/>
          <w:szCs w:val="22"/>
          <w:lang w:val="en-US" w:eastAsia="es-MX"/>
        </w:rPr>
        <w:t>Contabilidad</w:t>
      </w:r>
      <w:proofErr w:type="spellEnd"/>
      <w:r w:rsidRPr="004F06F2">
        <w:rPr>
          <w:rFonts w:eastAsia="Times New Roman" w:cs="Times New Roman"/>
          <w:sz w:val="22"/>
          <w:szCs w:val="22"/>
          <w:lang w:eastAsia="es-MX"/>
        </w:rPr>
        <w:t xml:space="preserve"> Gubernamental</w:t>
      </w:r>
    </w:p>
    <w:p w14:paraId="35BC83D3"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eastAsia="es-MX"/>
        </w:rPr>
      </w:pPr>
      <w:proofErr w:type="spellStart"/>
      <w:r w:rsidRPr="004F06F2">
        <w:rPr>
          <w:rFonts w:eastAsia="Times New Roman" w:cs="Times New Roman"/>
          <w:sz w:val="22"/>
          <w:szCs w:val="22"/>
          <w:lang w:val="en-US" w:eastAsia="es-MX"/>
        </w:rPr>
        <w:t>Clasificador</w:t>
      </w:r>
      <w:proofErr w:type="spellEnd"/>
      <w:r w:rsidRPr="004F06F2">
        <w:rPr>
          <w:rFonts w:eastAsia="Times New Roman" w:cs="Times New Roman"/>
          <w:sz w:val="22"/>
          <w:szCs w:val="22"/>
          <w:lang w:eastAsia="es-MX"/>
        </w:rPr>
        <w:t xml:space="preserve"> por Objeto del Gasto</w:t>
      </w:r>
    </w:p>
    <w:p w14:paraId="1C19FF16"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Tipo de Gasto</w:t>
      </w:r>
    </w:p>
    <w:p w14:paraId="2C5BA2C5"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Clasificador por Rubros de Ingresos</w:t>
      </w:r>
    </w:p>
    <w:p w14:paraId="528026BF"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Plan de</w:t>
      </w:r>
      <w:r w:rsidRPr="004F06F2">
        <w:rPr>
          <w:rFonts w:eastAsia="Times New Roman" w:cs="Times New Roman"/>
          <w:sz w:val="22"/>
          <w:szCs w:val="22"/>
          <w:lang w:eastAsia="es-MX"/>
        </w:rPr>
        <w:t xml:space="preserve"> Cuentas</w:t>
      </w:r>
      <w:r w:rsidRPr="004F06F2">
        <w:rPr>
          <w:rFonts w:eastAsia="Times New Roman" w:cs="Times New Roman"/>
          <w:sz w:val="22"/>
          <w:szCs w:val="22"/>
          <w:lang w:val="en-US" w:eastAsia="es-MX"/>
        </w:rPr>
        <w:t xml:space="preserve"> de </w:t>
      </w:r>
      <w:r w:rsidRPr="004F06F2">
        <w:rPr>
          <w:rFonts w:eastAsia="Times New Roman" w:cs="Times New Roman"/>
          <w:sz w:val="22"/>
          <w:szCs w:val="22"/>
          <w:lang w:eastAsia="es-MX"/>
        </w:rPr>
        <w:t>Contabilidad</w:t>
      </w:r>
    </w:p>
    <w:p w14:paraId="195B5CA8"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eastAsia="es-MX"/>
        </w:rPr>
      </w:pPr>
      <w:r w:rsidRPr="004F06F2">
        <w:rPr>
          <w:rFonts w:eastAsia="Times New Roman" w:cs="Times New Roman"/>
          <w:sz w:val="22"/>
          <w:szCs w:val="22"/>
          <w:lang w:eastAsia="es-MX"/>
        </w:rPr>
        <w:t>Momentos Contables de los Egresos</w:t>
      </w:r>
    </w:p>
    <w:p w14:paraId="60FE68C1"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proofErr w:type="spellStart"/>
      <w:r w:rsidRPr="004F06F2">
        <w:rPr>
          <w:rFonts w:eastAsia="Times New Roman" w:cs="Times New Roman"/>
          <w:sz w:val="22"/>
          <w:szCs w:val="22"/>
          <w:lang w:val="en-US" w:eastAsia="es-MX"/>
        </w:rPr>
        <w:t>Momentos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Contables</w:t>
      </w:r>
      <w:proofErr w:type="spellEnd"/>
      <w:r w:rsidRPr="004F06F2">
        <w:rPr>
          <w:rFonts w:eastAsia="Times New Roman" w:cs="Times New Roman"/>
          <w:sz w:val="22"/>
          <w:szCs w:val="22"/>
          <w:lang w:val="en-US" w:eastAsia="es-MX"/>
        </w:rPr>
        <w:t xml:space="preserve"> de </w:t>
      </w:r>
      <w:proofErr w:type="spellStart"/>
      <w:r w:rsidRPr="004F06F2">
        <w:rPr>
          <w:rFonts w:eastAsia="Times New Roman" w:cs="Times New Roman"/>
          <w:sz w:val="22"/>
          <w:szCs w:val="22"/>
          <w:lang w:val="en-US" w:eastAsia="es-MX"/>
        </w:rPr>
        <w:t>los</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Ingresos</w:t>
      </w:r>
      <w:proofErr w:type="spellEnd"/>
    </w:p>
    <w:p w14:paraId="1B059825" w14:textId="77777777" w:rsidR="002B0869" w:rsidRPr="004F06F2" w:rsidRDefault="002B0869" w:rsidP="002B0869">
      <w:pPr>
        <w:widowControl w:val="0"/>
        <w:numPr>
          <w:ilvl w:val="0"/>
          <w:numId w:val="7"/>
        </w:numPr>
        <w:kinsoku w:val="0"/>
        <w:spacing w:before="0" w:after="0"/>
        <w:ind w:left="1848" w:hanging="357"/>
        <w:contextualSpacing/>
        <w:jc w:val="left"/>
        <w:rPr>
          <w:rFonts w:eastAsia="Times New Roman" w:cs="Times New Roman"/>
          <w:sz w:val="22"/>
          <w:szCs w:val="22"/>
          <w:lang w:val="en-US" w:eastAsia="es-MX"/>
        </w:rPr>
      </w:pPr>
      <w:r w:rsidRPr="004F06F2">
        <w:rPr>
          <w:rFonts w:eastAsia="Times New Roman" w:cs="Times New Roman"/>
          <w:sz w:val="22"/>
          <w:szCs w:val="22"/>
          <w:lang w:val="en-US" w:eastAsia="es-MX"/>
        </w:rPr>
        <w:t xml:space="preserve">Manual de </w:t>
      </w:r>
      <w:proofErr w:type="spellStart"/>
      <w:r w:rsidRPr="004F06F2">
        <w:rPr>
          <w:rFonts w:eastAsia="Times New Roman" w:cs="Times New Roman"/>
          <w:sz w:val="22"/>
          <w:szCs w:val="22"/>
          <w:lang w:val="en-US" w:eastAsia="es-MX"/>
        </w:rPr>
        <w:t>Contabilidad</w:t>
      </w:r>
      <w:proofErr w:type="spellEnd"/>
      <w:r w:rsidRPr="004F06F2">
        <w:rPr>
          <w:rFonts w:eastAsia="Times New Roman" w:cs="Times New Roman"/>
          <w:sz w:val="22"/>
          <w:szCs w:val="22"/>
          <w:lang w:val="en-US" w:eastAsia="es-MX"/>
        </w:rPr>
        <w:t xml:space="preserve"> </w:t>
      </w:r>
      <w:proofErr w:type="spellStart"/>
      <w:r w:rsidRPr="004F06F2">
        <w:rPr>
          <w:rFonts w:eastAsia="Times New Roman" w:cs="Times New Roman"/>
          <w:sz w:val="22"/>
          <w:szCs w:val="22"/>
          <w:lang w:val="en-US" w:eastAsia="es-MX"/>
        </w:rPr>
        <w:t>Gubernamental</w:t>
      </w:r>
      <w:proofErr w:type="spellEnd"/>
    </w:p>
    <w:p w14:paraId="40AA89B9" w14:textId="77777777" w:rsidR="002B0869" w:rsidRPr="004F06F2" w:rsidRDefault="002B0869" w:rsidP="002B0869">
      <w:pPr>
        <w:widowControl w:val="0"/>
        <w:kinsoku w:val="0"/>
        <w:spacing w:before="0" w:after="0"/>
        <w:contextualSpacing/>
        <w:jc w:val="left"/>
        <w:rPr>
          <w:rFonts w:eastAsia="Times New Roman" w:cs="Times New Roman"/>
          <w:sz w:val="22"/>
          <w:szCs w:val="22"/>
          <w:lang w:val="en-US" w:eastAsia="es-MX"/>
        </w:rPr>
      </w:pPr>
    </w:p>
    <w:p w14:paraId="69726694" w14:textId="77777777" w:rsidR="002B0869" w:rsidRPr="004F06F2" w:rsidRDefault="002B0869" w:rsidP="002B0869">
      <w:pPr>
        <w:tabs>
          <w:tab w:val="left" w:pos="709"/>
        </w:tabs>
        <w:spacing w:before="0" w:after="0"/>
        <w:rPr>
          <w:rFonts w:eastAsia="Calibri" w:cs="Times New Roman"/>
          <w:sz w:val="22"/>
          <w:szCs w:val="22"/>
        </w:rPr>
      </w:pPr>
      <w:r w:rsidRPr="004F06F2">
        <w:rPr>
          <w:rFonts w:eastAsia="Calibri" w:cs="Times New Roman"/>
          <w:sz w:val="22"/>
          <w:szCs w:val="22"/>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Nacional de Armonización Contable, con los informes que determine la Auditoría Superior de Michoacán en coordinación con la Secretaría y las Tesorerías Municipales correspondientes. </w:t>
      </w:r>
    </w:p>
    <w:p w14:paraId="64D63CF1" w14:textId="77777777" w:rsidR="002B0869" w:rsidRPr="004F06F2" w:rsidRDefault="002B0869" w:rsidP="002B0869">
      <w:pPr>
        <w:tabs>
          <w:tab w:val="left" w:pos="709"/>
        </w:tabs>
        <w:spacing w:before="0" w:after="0"/>
        <w:rPr>
          <w:rFonts w:eastAsia="Calibri" w:cs="Times New Roman"/>
          <w:sz w:val="22"/>
          <w:szCs w:val="22"/>
        </w:rPr>
      </w:pPr>
    </w:p>
    <w:p w14:paraId="09ECC917" w14:textId="77777777" w:rsidR="002B0869" w:rsidRPr="00CB6194" w:rsidRDefault="002B0869" w:rsidP="002B0869">
      <w:pPr>
        <w:tabs>
          <w:tab w:val="left" w:pos="709"/>
        </w:tabs>
        <w:spacing w:before="0" w:after="0"/>
        <w:rPr>
          <w:rFonts w:eastAsia="Calibri" w:cs="Times New Roman"/>
          <w:sz w:val="22"/>
          <w:szCs w:val="22"/>
        </w:rPr>
      </w:pPr>
      <w:r w:rsidRPr="004F06F2">
        <w:rPr>
          <w:rFonts w:eastAsia="Calibri" w:cs="Times New Roman"/>
          <w:sz w:val="22"/>
          <w:szCs w:val="22"/>
        </w:rPr>
        <w:t>En ese sentido, la Administración Pública Central del Gobierno del Estado de Michoacán de Ocampo adopta las políticas de contabilidad de las disposiciones anteriormente citadas para la elaboración de sus estados financieros y la presentación de informes periódicos.</w:t>
      </w:r>
    </w:p>
    <w:p w14:paraId="5BEB1B2B" w14:textId="77777777" w:rsidR="002B0869" w:rsidRPr="004F06F2" w:rsidRDefault="002B0869" w:rsidP="002B0869">
      <w:pPr>
        <w:spacing w:before="0" w:after="0"/>
        <w:ind w:left="720"/>
        <w:rPr>
          <w:rFonts w:eastAsia="Calibri" w:cs="Times New Roman"/>
          <w:b/>
          <w:sz w:val="22"/>
          <w:szCs w:val="22"/>
        </w:rPr>
      </w:pPr>
      <w:r w:rsidRPr="004F06F2">
        <w:rPr>
          <w:rFonts w:eastAsia="Calibri" w:cs="Times New Roman"/>
          <w:b/>
          <w:sz w:val="22"/>
          <w:szCs w:val="22"/>
        </w:rPr>
        <w:lastRenderedPageBreak/>
        <w:t>b)  Normatividad.</w:t>
      </w:r>
    </w:p>
    <w:p w14:paraId="657E3A14" w14:textId="77777777" w:rsidR="002B0869" w:rsidRPr="004F06F2" w:rsidRDefault="002B0869" w:rsidP="002B0869">
      <w:pPr>
        <w:spacing w:before="0" w:after="0"/>
        <w:rPr>
          <w:rFonts w:eastAsia="Calibri" w:cs="Times New Roman"/>
          <w:sz w:val="22"/>
          <w:szCs w:val="22"/>
        </w:rPr>
      </w:pPr>
    </w:p>
    <w:p w14:paraId="3686FBF7"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La información que se presenta, corresponde a la Administración Pública Central del Gobierno del Estado Libre y Soberano de Michoacán de Ocampo 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w:t>
      </w:r>
      <w:r>
        <w:rPr>
          <w:rFonts w:eastAsia="Calibri" w:cs="Times New Roman"/>
          <w:sz w:val="22"/>
          <w:szCs w:val="22"/>
        </w:rPr>
        <w:t>5</w:t>
      </w:r>
      <w:r w:rsidRPr="004F06F2">
        <w:rPr>
          <w:rFonts w:eastAsia="Calibri" w:cs="Times New Roman"/>
          <w:sz w:val="22"/>
          <w:szCs w:val="22"/>
        </w:rPr>
        <w:t xml:space="preserve"> y las demás disposiciones normativas y jurídicas vigentes para el Estado de Michoacán de Ocampo.</w:t>
      </w:r>
    </w:p>
    <w:p w14:paraId="737CFF61" w14:textId="77777777" w:rsidR="002B0869" w:rsidRPr="004F06F2" w:rsidRDefault="002B0869" w:rsidP="002B0869">
      <w:pPr>
        <w:spacing w:before="0" w:after="0"/>
        <w:rPr>
          <w:rFonts w:eastAsia="Calibri" w:cs="Times New Roman"/>
          <w:sz w:val="22"/>
          <w:szCs w:val="22"/>
        </w:rPr>
      </w:pPr>
    </w:p>
    <w:p w14:paraId="1D5E257A"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3FD068E6" w14:textId="77777777" w:rsidR="002B0869" w:rsidRPr="004F06F2" w:rsidRDefault="002B0869" w:rsidP="002B0869">
      <w:pPr>
        <w:spacing w:before="0" w:after="0"/>
        <w:ind w:left="709"/>
        <w:rPr>
          <w:rFonts w:eastAsia="Calibri" w:cs="Times New Roman"/>
          <w:sz w:val="22"/>
          <w:szCs w:val="22"/>
        </w:rPr>
      </w:pPr>
    </w:p>
    <w:p w14:paraId="39552682"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 xml:space="preserve">Para el </w:t>
      </w:r>
      <w:r>
        <w:rPr>
          <w:rFonts w:eastAsia="Calibri" w:cs="Times New Roman"/>
          <w:sz w:val="22"/>
          <w:szCs w:val="22"/>
        </w:rPr>
        <w:t xml:space="preserve">periodo que se informa de este año de </w:t>
      </w:r>
      <w:r w:rsidRPr="004F06F2">
        <w:rPr>
          <w:rFonts w:eastAsia="Calibri" w:cs="Times New Roman"/>
          <w:sz w:val="22"/>
          <w:szCs w:val="22"/>
        </w:rPr>
        <w:t>202</w:t>
      </w:r>
      <w:r>
        <w:rPr>
          <w:rFonts w:eastAsia="Calibri" w:cs="Times New Roman"/>
          <w:sz w:val="22"/>
          <w:szCs w:val="22"/>
        </w:rPr>
        <w:t>5</w:t>
      </w:r>
      <w:r w:rsidRPr="004F06F2">
        <w:rPr>
          <w:rFonts w:eastAsia="Calibri" w:cs="Times New Roman"/>
          <w:sz w:val="22"/>
          <w:szCs w:val="22"/>
        </w:rPr>
        <w:t>,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w:t>
      </w:r>
      <w:r>
        <w:rPr>
          <w:rFonts w:eastAsia="Calibri" w:cs="Times New Roman"/>
          <w:sz w:val="22"/>
          <w:szCs w:val="22"/>
        </w:rPr>
        <w:t>5</w:t>
      </w:r>
      <w:r w:rsidRPr="004F06F2">
        <w:rPr>
          <w:rFonts w:eastAsia="Calibri" w:cs="Times New Roman"/>
          <w:sz w:val="22"/>
          <w:szCs w:val="22"/>
        </w:rPr>
        <w:t xml:space="preserve">, así como en la Ley de Ingresos </w:t>
      </w:r>
      <w:r w:rsidRPr="004F06F2">
        <w:rPr>
          <w:rFonts w:eastAsia="Calibri" w:cs="Times New Roman"/>
          <w:sz w:val="22"/>
          <w:szCs w:val="22"/>
        </w:rPr>
        <w:lastRenderedPageBreak/>
        <w:t>del Estado de Michoacán de Ocampo para el mismo ejercicio y demás disposiciones fiscales, jurídicas y administrativas relacionadas con el manejo de los ingresos y del ejercicio del presupuesto de egresos del Gobierno del Estado.</w:t>
      </w:r>
    </w:p>
    <w:p w14:paraId="12B312BC"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7AE2710A" w14:textId="77777777" w:rsidR="002B0869" w:rsidRPr="004F06F2" w:rsidRDefault="002B0869" w:rsidP="002B0869">
      <w:pPr>
        <w:spacing w:before="0" w:after="0"/>
        <w:rPr>
          <w:rFonts w:eastAsia="Calibri" w:cs="Times New Roman"/>
          <w:sz w:val="22"/>
          <w:szCs w:val="22"/>
        </w:rPr>
      </w:pPr>
    </w:p>
    <w:p w14:paraId="5C17760E"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 xml:space="preserve">En la contabilidad de la Hacienda Pública Estatal, con fundamento en lo establecido en el artículo 88 fracción III de la Ley de Planeación Hacendaria, Presupuesto, Gasto Público </w:t>
      </w:r>
      <w:r>
        <w:rPr>
          <w:rFonts w:eastAsia="Calibri" w:cs="Times New Roman"/>
          <w:sz w:val="22"/>
          <w:szCs w:val="22"/>
        </w:rPr>
        <w:t>y</w:t>
      </w:r>
      <w:r w:rsidRPr="004F06F2">
        <w:rPr>
          <w:rFonts w:eastAsia="Calibri" w:cs="Times New Roman"/>
          <w:sz w:val="22"/>
          <w:szCs w:val="22"/>
        </w:rPr>
        <w:t xml:space="preserve"> Contabilidad Gubernamental </w:t>
      </w:r>
      <w:r>
        <w:rPr>
          <w:rFonts w:eastAsia="Calibri" w:cs="Times New Roman"/>
          <w:sz w:val="22"/>
          <w:szCs w:val="22"/>
        </w:rPr>
        <w:t>d</w:t>
      </w:r>
      <w:r w:rsidRPr="004F06F2">
        <w:rPr>
          <w:rFonts w:eastAsia="Calibri" w:cs="Times New Roman"/>
          <w:sz w:val="22"/>
          <w:szCs w:val="22"/>
        </w:rPr>
        <w:t>el Estado De Michoacán, se muestran los estados analíticos sobre deuda pública, los cuales tienen como finalidad realizar periódicamente el seguimiento del ejercicio de los egresos presupuestarios.</w:t>
      </w:r>
    </w:p>
    <w:p w14:paraId="0B18E6CF" w14:textId="77777777" w:rsidR="002B0869" w:rsidRPr="004F06F2" w:rsidRDefault="002B0869" w:rsidP="002B0869">
      <w:pPr>
        <w:spacing w:before="0" w:after="0"/>
        <w:rPr>
          <w:rFonts w:eastAsia="Calibri" w:cs="Times New Roman"/>
          <w:b/>
          <w:sz w:val="22"/>
          <w:szCs w:val="22"/>
        </w:rPr>
      </w:pPr>
    </w:p>
    <w:p w14:paraId="555B4001" w14:textId="77777777" w:rsidR="002B0869" w:rsidRPr="004F06F2" w:rsidRDefault="002B0869" w:rsidP="002B0869">
      <w:pPr>
        <w:spacing w:before="0" w:after="0"/>
        <w:ind w:left="720"/>
        <w:rPr>
          <w:rFonts w:eastAsia="Calibri" w:cs="Times New Roman"/>
          <w:b/>
          <w:sz w:val="22"/>
          <w:szCs w:val="22"/>
        </w:rPr>
      </w:pPr>
      <w:proofErr w:type="gramStart"/>
      <w:r w:rsidRPr="004F06F2">
        <w:rPr>
          <w:rFonts w:eastAsia="Calibri" w:cs="Times New Roman"/>
          <w:b/>
          <w:sz w:val="22"/>
          <w:szCs w:val="22"/>
        </w:rPr>
        <w:t>c)</w:t>
      </w:r>
      <w:proofErr w:type="gramEnd"/>
      <w:r w:rsidRPr="004F06F2">
        <w:rPr>
          <w:rFonts w:eastAsia="Calibri" w:cs="Times New Roman"/>
          <w:b/>
          <w:sz w:val="22"/>
          <w:szCs w:val="22"/>
        </w:rPr>
        <w:t>. Postulados básicos de Contabilidad Gubernamental.</w:t>
      </w:r>
    </w:p>
    <w:p w14:paraId="28B35808" w14:textId="77777777" w:rsidR="002B0869" w:rsidRPr="004F06F2" w:rsidRDefault="002B0869" w:rsidP="002B0869">
      <w:pPr>
        <w:spacing w:before="0" w:after="0"/>
        <w:rPr>
          <w:rFonts w:eastAsia="Calibri" w:cs="Times New Roman"/>
          <w:sz w:val="22"/>
          <w:szCs w:val="22"/>
        </w:rPr>
      </w:pPr>
    </w:p>
    <w:p w14:paraId="0344F371"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 xml:space="preserve">Las Políticas Contables de la Administración Pública Central del Gobierno del Estado Libre y Soberano de Michoacán de Ocampo; se fundamentan en los postulados básicos de contabilidad gubernamental que configuran el sistema de contabilidad, teniendo incidencia en la identificación, el análisis, la interpretación, la captación, el </w:t>
      </w:r>
      <w:r w:rsidRPr="004F06F2">
        <w:rPr>
          <w:rFonts w:eastAsia="Calibri" w:cs="Times New Roman"/>
          <w:sz w:val="22"/>
          <w:szCs w:val="22"/>
        </w:rPr>
        <w:lastRenderedPageBreak/>
        <w:t>procesamiento y el reconocimiento de las transformaciones, transacciones y otros eventos que lo afectan. Estos postulados, son los aprobados por el Consejo Nacional de Armonización Contable.</w:t>
      </w:r>
    </w:p>
    <w:p w14:paraId="35CC437C" w14:textId="77777777" w:rsidR="002B0869" w:rsidRPr="004F06F2" w:rsidRDefault="002B0869" w:rsidP="002B0869">
      <w:pPr>
        <w:spacing w:before="0" w:after="0"/>
        <w:rPr>
          <w:rFonts w:eastAsia="Calibri" w:cs="Times New Roman"/>
          <w:sz w:val="22"/>
          <w:szCs w:val="22"/>
        </w:rPr>
      </w:pPr>
    </w:p>
    <w:p w14:paraId="7845CDB6" w14:textId="77777777" w:rsidR="002B0869" w:rsidRPr="004F06F2" w:rsidRDefault="002B0869" w:rsidP="002B0869">
      <w:pPr>
        <w:spacing w:before="0" w:after="0"/>
        <w:ind w:left="720"/>
        <w:rPr>
          <w:rFonts w:eastAsia="Calibri" w:cs="Times New Roman"/>
          <w:b/>
          <w:sz w:val="22"/>
          <w:szCs w:val="22"/>
        </w:rPr>
      </w:pPr>
      <w:r w:rsidRPr="004F06F2">
        <w:rPr>
          <w:rFonts w:eastAsia="Calibri" w:cs="Times New Roman"/>
          <w:b/>
          <w:sz w:val="22"/>
          <w:szCs w:val="22"/>
        </w:rPr>
        <w:t>d) Normatividad Supletoria</w:t>
      </w:r>
    </w:p>
    <w:p w14:paraId="28F1C996" w14:textId="77777777" w:rsidR="002B0869" w:rsidRPr="004F06F2" w:rsidRDefault="002B0869" w:rsidP="002B0869">
      <w:pPr>
        <w:spacing w:before="0" w:after="0"/>
        <w:rPr>
          <w:rFonts w:eastAsia="Calibri" w:cs="Times New Roman"/>
          <w:sz w:val="22"/>
          <w:szCs w:val="22"/>
        </w:rPr>
      </w:pPr>
    </w:p>
    <w:p w14:paraId="5ECF4CBE"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No se aplica normatividad de manera supletoria para la elaboración de los Estados Financieros.</w:t>
      </w:r>
    </w:p>
    <w:p w14:paraId="51BFF947" w14:textId="77777777" w:rsidR="002B0869" w:rsidRPr="004F06F2" w:rsidRDefault="002B0869" w:rsidP="002B0869">
      <w:pPr>
        <w:spacing w:before="0" w:after="0"/>
        <w:rPr>
          <w:rFonts w:eastAsia="Calibri" w:cs="Times New Roman"/>
          <w:sz w:val="22"/>
          <w:szCs w:val="22"/>
        </w:rPr>
      </w:pPr>
    </w:p>
    <w:p w14:paraId="4CCAF3FB" w14:textId="77777777" w:rsidR="002B0869" w:rsidRPr="004F06F2" w:rsidRDefault="002B0869" w:rsidP="002B0869">
      <w:pPr>
        <w:spacing w:before="0" w:after="0"/>
        <w:ind w:left="720"/>
        <w:rPr>
          <w:rFonts w:eastAsia="Calibri" w:cs="Times New Roman"/>
          <w:b/>
          <w:sz w:val="22"/>
          <w:szCs w:val="22"/>
        </w:rPr>
      </w:pPr>
      <w:r w:rsidRPr="004F06F2">
        <w:rPr>
          <w:rFonts w:eastAsia="Calibri" w:cs="Times New Roman"/>
          <w:b/>
          <w:sz w:val="22"/>
          <w:szCs w:val="22"/>
        </w:rPr>
        <w:t>e) Entidades que por primera vez apliquen la base del devengado</w:t>
      </w:r>
    </w:p>
    <w:p w14:paraId="20FEC033" w14:textId="77777777" w:rsidR="002B0869" w:rsidRPr="004F06F2" w:rsidRDefault="002B0869" w:rsidP="002B0869">
      <w:pPr>
        <w:spacing w:before="0" w:after="0"/>
        <w:rPr>
          <w:rFonts w:eastAsia="Calibri" w:cs="Times New Roman"/>
          <w:sz w:val="22"/>
          <w:szCs w:val="22"/>
        </w:rPr>
      </w:pPr>
    </w:p>
    <w:p w14:paraId="68201A19"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Este punto no aplica para el Gobierno del Estado de Michoacán.</w:t>
      </w:r>
    </w:p>
    <w:p w14:paraId="32962C6A" w14:textId="77777777" w:rsidR="002B0869" w:rsidRDefault="002B0869" w:rsidP="002B0869">
      <w:pPr>
        <w:spacing w:before="0" w:after="0"/>
        <w:rPr>
          <w:rFonts w:eastAsia="Calibri" w:cs="Times New Roman"/>
          <w:sz w:val="22"/>
          <w:szCs w:val="22"/>
        </w:rPr>
      </w:pPr>
    </w:p>
    <w:p w14:paraId="4632B799" w14:textId="77777777" w:rsidR="002B0869" w:rsidRPr="004F06F2" w:rsidRDefault="002B0869" w:rsidP="002B0869">
      <w:pPr>
        <w:spacing w:before="0" w:after="0"/>
        <w:rPr>
          <w:rFonts w:eastAsia="Calibri" w:cs="Times New Roman"/>
          <w:b/>
          <w:bCs/>
          <w:sz w:val="22"/>
          <w:szCs w:val="22"/>
        </w:rPr>
      </w:pPr>
      <w:r w:rsidRPr="008C7DA5">
        <w:rPr>
          <w:rFonts w:eastAsia="Calibri" w:cs="Times New Roman"/>
          <w:b/>
          <w:bCs/>
          <w:sz w:val="22"/>
          <w:szCs w:val="22"/>
        </w:rPr>
        <w:t>5.- Políticas de Contabilidad Significativas.</w:t>
      </w:r>
    </w:p>
    <w:p w14:paraId="22BA414D" w14:textId="77777777" w:rsidR="002B0869" w:rsidRPr="00DF55A1" w:rsidRDefault="002B0869" w:rsidP="002B0869">
      <w:pPr>
        <w:spacing w:before="0" w:after="0"/>
        <w:ind w:left="720"/>
        <w:rPr>
          <w:rFonts w:eastAsia="Calibri" w:cs="Times New Roman"/>
          <w:b/>
          <w:sz w:val="22"/>
          <w:szCs w:val="22"/>
        </w:rPr>
      </w:pPr>
      <w:r w:rsidRPr="00DF55A1">
        <w:rPr>
          <w:rFonts w:eastAsia="Calibri" w:cs="Times New Roman"/>
          <w:b/>
          <w:sz w:val="22"/>
          <w:szCs w:val="22"/>
        </w:rPr>
        <w:t>a) Actualización:</w:t>
      </w:r>
    </w:p>
    <w:p w14:paraId="5E67DCD8" w14:textId="77777777" w:rsidR="002B0869" w:rsidRDefault="002B0869" w:rsidP="002B0869">
      <w:pPr>
        <w:rPr>
          <w:sz w:val="22"/>
        </w:rPr>
      </w:pPr>
    </w:p>
    <w:p w14:paraId="51903B4F"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t>Activos.</w:t>
      </w:r>
    </w:p>
    <w:p w14:paraId="254034AC"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Con el  propósito de dar cumplimiento a los Artículos 46, 47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2B315E56" w14:textId="77777777" w:rsidR="002B0869" w:rsidRPr="00DF55A1" w:rsidRDefault="002B0869" w:rsidP="002B0869">
      <w:pPr>
        <w:spacing w:before="0" w:after="0"/>
        <w:rPr>
          <w:rFonts w:eastAsia="Calibri" w:cs="Times New Roman"/>
          <w:bCs/>
          <w:sz w:val="22"/>
          <w:szCs w:val="22"/>
        </w:rPr>
      </w:pPr>
    </w:p>
    <w:p w14:paraId="1FFCD765"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lastRenderedPageBreak/>
        <w:t>Se sigue realizando el inventario físico con las verificaciones periódicas que realiza la Dirección de Patrimonio Estatal, de las existencias de los bienes muebles e inmuebles, con que cuenta el ente público, y algunas de las cifras, están sujetas al programa de depuración, considerando que existan cambios en criterios contables y cambios en las estimaciones contables de conformidad con la LGCG</w:t>
      </w:r>
      <w:r>
        <w:rPr>
          <w:rFonts w:eastAsia="Calibri" w:cs="Times New Roman"/>
          <w:bCs/>
          <w:sz w:val="22"/>
          <w:szCs w:val="22"/>
        </w:rPr>
        <w:t>.</w:t>
      </w:r>
    </w:p>
    <w:p w14:paraId="41E0027A" w14:textId="77777777" w:rsidR="002B0869" w:rsidRDefault="002B0869" w:rsidP="002B0869">
      <w:pPr>
        <w:spacing w:before="0" w:after="0"/>
        <w:rPr>
          <w:rFonts w:eastAsia="Calibri" w:cs="Times New Roman"/>
          <w:b/>
          <w:bCs/>
          <w:sz w:val="22"/>
          <w:szCs w:val="22"/>
        </w:rPr>
      </w:pPr>
    </w:p>
    <w:p w14:paraId="49CBD26B" w14:textId="77777777" w:rsidR="002B0869" w:rsidRPr="00DF55A1" w:rsidRDefault="002B0869" w:rsidP="002B0869">
      <w:pPr>
        <w:spacing w:before="0" w:after="0"/>
        <w:rPr>
          <w:rFonts w:eastAsia="Calibri" w:cs="Times New Roman"/>
          <w:b/>
          <w:bCs/>
          <w:sz w:val="22"/>
          <w:szCs w:val="22"/>
        </w:rPr>
      </w:pPr>
    </w:p>
    <w:p w14:paraId="2B543361" w14:textId="77777777" w:rsidR="002B0869" w:rsidRPr="00DF55A1" w:rsidRDefault="002B0869" w:rsidP="002B0869">
      <w:pPr>
        <w:spacing w:before="0" w:after="0"/>
        <w:rPr>
          <w:rFonts w:eastAsia="Calibri" w:cs="Times New Roman"/>
          <w:b/>
          <w:bCs/>
          <w:sz w:val="22"/>
          <w:szCs w:val="22"/>
        </w:rPr>
      </w:pPr>
      <w:r w:rsidRPr="00DF55A1">
        <w:rPr>
          <w:rFonts w:eastAsia="Calibri" w:cs="Times New Roman"/>
          <w:b/>
          <w:bCs/>
          <w:sz w:val="22"/>
          <w:szCs w:val="22"/>
        </w:rPr>
        <w:t>Pasivos:</w:t>
      </w:r>
    </w:p>
    <w:p w14:paraId="5843E847"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 xml:space="preserve">El Método utilizado para la Actualización del Valor de los Pasivos es el de Valor Nominal, el cual mantiene el valor original de los pasivos adquiridos. </w:t>
      </w:r>
    </w:p>
    <w:p w14:paraId="4032D60B"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En la Actualización de la Hacienda Pública se utiliza el Valor de Adquisición en el cual se registra el valor original de los activos y pasivos al momento de su adquisición.</w:t>
      </w:r>
    </w:p>
    <w:p w14:paraId="794A2D33" w14:textId="77777777" w:rsidR="002B0869" w:rsidRPr="00DF55A1" w:rsidRDefault="002B0869" w:rsidP="002B0869">
      <w:pPr>
        <w:spacing w:before="0" w:after="0"/>
        <w:rPr>
          <w:rFonts w:eastAsia="Calibri" w:cs="Times New Roman"/>
          <w:bCs/>
          <w:sz w:val="22"/>
          <w:szCs w:val="22"/>
        </w:rPr>
      </w:pPr>
    </w:p>
    <w:p w14:paraId="2DB4E920"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Se utilizan estos métodos de actualización de los valores de activos, pasivos y Hacienda Pública/Patrimonio, por ser un método simple y directo, lo cual facilita el registro contable y proporciona una base clara y verificable para la valoración.</w:t>
      </w:r>
    </w:p>
    <w:p w14:paraId="1060442C" w14:textId="77777777" w:rsidR="002B0869" w:rsidRPr="00DF55A1" w:rsidRDefault="002B0869" w:rsidP="002B0869">
      <w:pPr>
        <w:spacing w:before="0" w:after="0"/>
        <w:rPr>
          <w:rFonts w:eastAsia="Calibri" w:cs="Times New Roman"/>
          <w:bCs/>
          <w:sz w:val="22"/>
          <w:szCs w:val="22"/>
        </w:rPr>
      </w:pPr>
    </w:p>
    <w:p w14:paraId="582413C4"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Durante el período contable, la entidad evaluó el entorno económico y determinó que no se requiere la reconexión inflacionaria, ya que la inflación acumulada de los últimos tres ejercicios no ha superado el 26%. Por lo tanto, los efectos de la inflación no han sido reconocidos en los estados financieros.</w:t>
      </w:r>
    </w:p>
    <w:p w14:paraId="7B17207D" w14:textId="77777777" w:rsidR="002B0869" w:rsidRPr="00DF55A1" w:rsidRDefault="002B0869" w:rsidP="002B0869">
      <w:pPr>
        <w:spacing w:before="0" w:after="0"/>
        <w:rPr>
          <w:rFonts w:eastAsia="Calibri" w:cs="Times New Roman"/>
          <w:bCs/>
          <w:color w:val="FF0000"/>
          <w:sz w:val="22"/>
          <w:szCs w:val="22"/>
        </w:rPr>
      </w:pPr>
    </w:p>
    <w:p w14:paraId="414656E4" w14:textId="77777777" w:rsidR="002B0869" w:rsidRPr="00DF55A1" w:rsidRDefault="002B0869" w:rsidP="002B0869">
      <w:pPr>
        <w:spacing w:before="0" w:after="0"/>
        <w:ind w:left="720"/>
        <w:rPr>
          <w:rFonts w:eastAsia="Calibri" w:cs="Times New Roman"/>
          <w:b/>
          <w:sz w:val="22"/>
          <w:szCs w:val="22"/>
        </w:rPr>
      </w:pPr>
      <w:r w:rsidRPr="00DF55A1">
        <w:rPr>
          <w:rFonts w:eastAsia="Calibri" w:cs="Times New Roman"/>
          <w:b/>
          <w:sz w:val="22"/>
          <w:szCs w:val="22"/>
        </w:rPr>
        <w:t>b) Informar sobre la realización de operaciones en el extranjero y de sus efectos en la información financiera gubernamental.</w:t>
      </w:r>
    </w:p>
    <w:p w14:paraId="42804FDB" w14:textId="77777777" w:rsidR="002B0869" w:rsidRPr="00DF55A1" w:rsidRDefault="002B0869" w:rsidP="002B0869">
      <w:pPr>
        <w:spacing w:before="0" w:after="0"/>
        <w:ind w:left="720"/>
        <w:rPr>
          <w:rFonts w:eastAsia="Calibri" w:cs="Times New Roman"/>
          <w:b/>
          <w:sz w:val="22"/>
          <w:szCs w:val="22"/>
        </w:rPr>
      </w:pPr>
    </w:p>
    <w:p w14:paraId="4F845508"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El Gobierno del Estado de Michoacán no realiza operaciones en el extranjero.</w:t>
      </w:r>
    </w:p>
    <w:p w14:paraId="22BEF0E5" w14:textId="77777777" w:rsidR="002B0869" w:rsidRPr="00DF55A1" w:rsidRDefault="002B0869" w:rsidP="002B0869">
      <w:pPr>
        <w:spacing w:before="0" w:after="0"/>
        <w:ind w:left="720"/>
        <w:rPr>
          <w:rFonts w:eastAsia="Calibri" w:cs="Times New Roman"/>
          <w:b/>
          <w:sz w:val="22"/>
          <w:szCs w:val="22"/>
        </w:rPr>
      </w:pPr>
    </w:p>
    <w:p w14:paraId="122C44A1" w14:textId="77777777" w:rsidR="002B0869" w:rsidRPr="00DF55A1" w:rsidRDefault="002B0869" w:rsidP="002B0869">
      <w:pPr>
        <w:spacing w:before="0" w:after="0"/>
        <w:ind w:left="720"/>
        <w:rPr>
          <w:rFonts w:eastAsia="Calibri" w:cs="Times New Roman"/>
          <w:b/>
          <w:sz w:val="22"/>
          <w:szCs w:val="22"/>
        </w:rPr>
      </w:pPr>
      <w:r w:rsidRPr="00DF55A1">
        <w:rPr>
          <w:rFonts w:eastAsia="Calibri" w:cs="Times New Roman"/>
          <w:b/>
          <w:sz w:val="22"/>
          <w:szCs w:val="22"/>
        </w:rPr>
        <w:lastRenderedPageBreak/>
        <w:t>c) Método de valuación en acciones de Compañías subsidiarias no consolidadas.</w:t>
      </w:r>
    </w:p>
    <w:p w14:paraId="47519A3F"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El Gobierno del Estado de Michoacán no cuenta con acciones en compañías subsidiarias no consolidadas.</w:t>
      </w:r>
    </w:p>
    <w:p w14:paraId="209740D9" w14:textId="77777777" w:rsidR="002B0869" w:rsidRPr="00DF55A1" w:rsidRDefault="002B0869" w:rsidP="002B0869">
      <w:pPr>
        <w:spacing w:before="0" w:after="0"/>
        <w:rPr>
          <w:rFonts w:eastAsia="Calibri" w:cs="Times New Roman"/>
          <w:b/>
          <w:sz w:val="22"/>
          <w:szCs w:val="22"/>
        </w:rPr>
      </w:pPr>
    </w:p>
    <w:p w14:paraId="659F9621" w14:textId="77777777" w:rsidR="002B0869" w:rsidRPr="00DF55A1" w:rsidRDefault="002B0869" w:rsidP="002B0869">
      <w:pPr>
        <w:spacing w:before="0" w:after="0"/>
        <w:ind w:left="720"/>
        <w:rPr>
          <w:rFonts w:eastAsia="Calibri" w:cs="Times New Roman"/>
          <w:b/>
          <w:sz w:val="22"/>
          <w:szCs w:val="22"/>
        </w:rPr>
      </w:pPr>
      <w:r w:rsidRPr="00DF55A1">
        <w:rPr>
          <w:rFonts w:eastAsia="Calibri" w:cs="Times New Roman"/>
          <w:b/>
          <w:sz w:val="22"/>
          <w:szCs w:val="22"/>
        </w:rPr>
        <w:t>d) Sistema y método de valuación de inventarios y costo de lo vendido.</w:t>
      </w:r>
    </w:p>
    <w:p w14:paraId="364F4CE6" w14:textId="77777777" w:rsidR="002B0869" w:rsidRPr="00DF55A1" w:rsidRDefault="002B0869" w:rsidP="002B0869">
      <w:pPr>
        <w:spacing w:before="0" w:after="0"/>
        <w:rPr>
          <w:rFonts w:eastAsia="Calibri" w:cs="Times New Roman"/>
          <w:bCs/>
          <w:color w:val="FF0000"/>
          <w:sz w:val="22"/>
          <w:szCs w:val="22"/>
        </w:rPr>
      </w:pPr>
    </w:p>
    <w:p w14:paraId="1B45F663"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El método de valuación de inventarios PEPS (primeras entradas primeras salidas) en este sistema se asume que los primeros artículos en ingresar al inventario son los primeros en utilizarse.</w:t>
      </w:r>
    </w:p>
    <w:p w14:paraId="6609FDD8" w14:textId="77777777" w:rsidR="002B0869" w:rsidRPr="00DF55A1" w:rsidRDefault="002B0869" w:rsidP="002B0869">
      <w:pPr>
        <w:spacing w:before="0" w:after="0"/>
        <w:rPr>
          <w:rFonts w:eastAsia="Calibri" w:cs="Times New Roman"/>
          <w:bCs/>
          <w:sz w:val="22"/>
          <w:szCs w:val="22"/>
        </w:rPr>
      </w:pPr>
    </w:p>
    <w:p w14:paraId="285C250E"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El Gobierno del Estado de Michoacán no realiza ventas, como parte de su actividad principal, por lo que el inventario corresponde a los artículos que se tienen para consumo como papelería, artículos de limpieza, herramientas menores, entre otros.</w:t>
      </w:r>
    </w:p>
    <w:p w14:paraId="72065EE7" w14:textId="77777777" w:rsidR="002B0869" w:rsidRPr="00DF55A1" w:rsidRDefault="002B0869" w:rsidP="002B0869">
      <w:pPr>
        <w:spacing w:before="0" w:after="0"/>
        <w:rPr>
          <w:rFonts w:eastAsia="Calibri" w:cs="Times New Roman"/>
          <w:sz w:val="22"/>
          <w:szCs w:val="22"/>
        </w:rPr>
      </w:pPr>
    </w:p>
    <w:p w14:paraId="7973B56E" w14:textId="77777777" w:rsidR="002B0869" w:rsidRDefault="002B0869" w:rsidP="002B0869">
      <w:pPr>
        <w:spacing w:before="0" w:after="0"/>
        <w:ind w:left="720"/>
        <w:rPr>
          <w:rFonts w:eastAsia="Calibri" w:cs="Times New Roman"/>
          <w:b/>
          <w:bCs/>
          <w:sz w:val="22"/>
          <w:szCs w:val="22"/>
        </w:rPr>
      </w:pPr>
      <w:r w:rsidRPr="00DF55A1">
        <w:rPr>
          <w:rFonts w:eastAsia="Calibri" w:cs="Times New Roman"/>
          <w:b/>
          <w:bCs/>
          <w:sz w:val="22"/>
          <w:szCs w:val="22"/>
        </w:rPr>
        <w:t>e) Beneficios a empleados: revelar el cálculo de la reserva actuarial, valor presente de los ingresos esperados comparado con el valor presente de la estimación de gastos tanto de los beneficiarios actuales como futuros.</w:t>
      </w:r>
    </w:p>
    <w:p w14:paraId="6704445B" w14:textId="77777777" w:rsidR="002B0869" w:rsidRPr="00DF55A1" w:rsidRDefault="002B0869" w:rsidP="002B0869">
      <w:pPr>
        <w:spacing w:before="0" w:after="0"/>
        <w:ind w:left="720"/>
        <w:rPr>
          <w:rFonts w:eastAsia="Calibri" w:cs="Times New Roman"/>
          <w:b/>
          <w:bCs/>
          <w:sz w:val="22"/>
          <w:szCs w:val="22"/>
        </w:rPr>
      </w:pPr>
    </w:p>
    <w:p w14:paraId="29BF3997" w14:textId="77777777" w:rsidR="002B0869" w:rsidRPr="00DF55A1" w:rsidRDefault="002B0869" w:rsidP="002B0869">
      <w:pPr>
        <w:spacing w:before="0" w:after="0"/>
        <w:rPr>
          <w:rFonts w:eastAsia="Calibri" w:cs="Times New Roman"/>
          <w:bCs/>
          <w:sz w:val="22"/>
          <w:szCs w:val="22"/>
        </w:rPr>
      </w:pPr>
      <w:r w:rsidRPr="00085DB0">
        <w:rPr>
          <w:rFonts w:eastAsia="Calibri" w:cs="Times New Roman"/>
          <w:bCs/>
          <w:sz w:val="22"/>
          <w:szCs w:val="22"/>
        </w:rPr>
        <w:t>El Gobierno del Estado de Michoacán cuenta con el último Estudio Actuarial, del cual se desprenden la siguiente información:</w:t>
      </w:r>
    </w:p>
    <w:p w14:paraId="28112A3A" w14:textId="77777777" w:rsidR="002B0869" w:rsidRPr="00DF55A1" w:rsidRDefault="002B0869" w:rsidP="002B0869">
      <w:pPr>
        <w:spacing w:before="0" w:after="0"/>
        <w:rPr>
          <w:rFonts w:eastAsia="Calibri" w:cs="Times New Roman"/>
          <w:bCs/>
          <w:sz w:val="22"/>
          <w:szCs w:val="22"/>
        </w:rPr>
      </w:pPr>
    </w:p>
    <w:tbl>
      <w:tblPr>
        <w:tblStyle w:val="Tablaconcuadrcula4"/>
        <w:tblW w:w="7225" w:type="dxa"/>
        <w:jc w:val="center"/>
        <w:tblLook w:val="04A0" w:firstRow="1" w:lastRow="0" w:firstColumn="1" w:lastColumn="0" w:noHBand="0" w:noVBand="1"/>
      </w:tblPr>
      <w:tblGrid>
        <w:gridCol w:w="4773"/>
        <w:gridCol w:w="2452"/>
      </w:tblGrid>
      <w:tr w:rsidR="002B0869" w:rsidRPr="00DF55A1" w14:paraId="42B95B46" w14:textId="77777777" w:rsidTr="00C229F8">
        <w:trPr>
          <w:jc w:val="center"/>
        </w:trPr>
        <w:tc>
          <w:tcPr>
            <w:tcW w:w="4773" w:type="dxa"/>
          </w:tcPr>
          <w:p w14:paraId="358DBAC7" w14:textId="77777777" w:rsidR="002B0869" w:rsidRPr="00DF55A1" w:rsidRDefault="002B0869" w:rsidP="00C229F8">
            <w:pPr>
              <w:rPr>
                <w:rFonts w:eastAsia="Calibri" w:cs="Times New Roman"/>
                <w:b/>
              </w:rPr>
            </w:pPr>
            <w:r w:rsidRPr="00DF55A1">
              <w:rPr>
                <w:rFonts w:eastAsia="Calibri" w:cs="Times New Roman"/>
                <w:b/>
              </w:rPr>
              <w:t>Monto de la Reserva</w:t>
            </w:r>
          </w:p>
        </w:tc>
        <w:tc>
          <w:tcPr>
            <w:tcW w:w="2452" w:type="dxa"/>
          </w:tcPr>
          <w:p w14:paraId="1943379E" w14:textId="77777777" w:rsidR="002B0869" w:rsidRPr="00DF55A1" w:rsidRDefault="002B0869" w:rsidP="00C229F8">
            <w:pPr>
              <w:jc w:val="right"/>
              <w:rPr>
                <w:rFonts w:eastAsia="Calibri" w:cs="Times New Roman"/>
                <w:bCs/>
              </w:rPr>
            </w:pPr>
            <w:r w:rsidRPr="00DF55A1">
              <w:rPr>
                <w:rFonts w:eastAsia="Calibri" w:cs="Times New Roman"/>
                <w:bCs/>
              </w:rPr>
              <w:t>11,564,526,545</w:t>
            </w:r>
          </w:p>
        </w:tc>
      </w:tr>
      <w:tr w:rsidR="002B0869" w:rsidRPr="00DF55A1" w14:paraId="0C1EC0A1" w14:textId="77777777" w:rsidTr="00C229F8">
        <w:trPr>
          <w:jc w:val="center"/>
        </w:trPr>
        <w:tc>
          <w:tcPr>
            <w:tcW w:w="7225" w:type="dxa"/>
            <w:gridSpan w:val="2"/>
          </w:tcPr>
          <w:p w14:paraId="5BEF7314" w14:textId="77777777" w:rsidR="002B0869" w:rsidRPr="00DF55A1" w:rsidRDefault="002B0869" w:rsidP="00C229F8">
            <w:pPr>
              <w:rPr>
                <w:rFonts w:eastAsia="Calibri" w:cs="Times New Roman"/>
                <w:bCs/>
              </w:rPr>
            </w:pPr>
            <w:r w:rsidRPr="00DF55A1">
              <w:rPr>
                <w:rFonts w:eastAsia="Calibri" w:cs="Times New Roman"/>
                <w:b/>
              </w:rPr>
              <w:t xml:space="preserve">Valor presente de las obligaciones </w:t>
            </w:r>
          </w:p>
        </w:tc>
      </w:tr>
      <w:tr w:rsidR="002B0869" w:rsidRPr="00DF55A1" w14:paraId="517C6C21" w14:textId="77777777" w:rsidTr="00C229F8">
        <w:trPr>
          <w:jc w:val="center"/>
        </w:trPr>
        <w:tc>
          <w:tcPr>
            <w:tcW w:w="4773" w:type="dxa"/>
          </w:tcPr>
          <w:p w14:paraId="12D0855B" w14:textId="77777777" w:rsidR="002B0869" w:rsidRPr="00DF55A1" w:rsidRDefault="002B0869" w:rsidP="00C229F8">
            <w:pPr>
              <w:rPr>
                <w:rFonts w:eastAsia="Calibri" w:cs="Times New Roman"/>
                <w:bCs/>
              </w:rPr>
            </w:pPr>
            <w:r w:rsidRPr="00DF55A1">
              <w:rPr>
                <w:rFonts w:eastAsia="Calibri" w:cs="Times New Roman"/>
                <w:bCs/>
              </w:rPr>
              <w:t xml:space="preserve">Pensiones y Jubilaciones en curso de pago </w:t>
            </w:r>
          </w:p>
        </w:tc>
        <w:tc>
          <w:tcPr>
            <w:tcW w:w="2452" w:type="dxa"/>
          </w:tcPr>
          <w:p w14:paraId="6498B59E" w14:textId="77777777" w:rsidR="002B0869" w:rsidRPr="00DF55A1" w:rsidRDefault="002B0869" w:rsidP="00C229F8">
            <w:pPr>
              <w:jc w:val="right"/>
              <w:rPr>
                <w:rFonts w:eastAsia="Calibri" w:cs="Times New Roman"/>
                <w:bCs/>
              </w:rPr>
            </w:pPr>
            <w:r w:rsidRPr="00DF55A1">
              <w:rPr>
                <w:rFonts w:eastAsia="Calibri" w:cs="Times New Roman"/>
                <w:bCs/>
              </w:rPr>
              <w:t>26,535,358,414</w:t>
            </w:r>
          </w:p>
        </w:tc>
      </w:tr>
      <w:tr w:rsidR="002B0869" w:rsidRPr="00DF55A1" w14:paraId="181B5DEB" w14:textId="77777777" w:rsidTr="00C229F8">
        <w:trPr>
          <w:jc w:val="center"/>
        </w:trPr>
        <w:tc>
          <w:tcPr>
            <w:tcW w:w="4773" w:type="dxa"/>
          </w:tcPr>
          <w:p w14:paraId="2D4CFFE3" w14:textId="77777777" w:rsidR="002B0869" w:rsidRPr="00DF55A1" w:rsidRDefault="002B0869" w:rsidP="00C229F8">
            <w:pPr>
              <w:rPr>
                <w:rFonts w:eastAsia="Calibri" w:cs="Times New Roman"/>
                <w:bCs/>
              </w:rPr>
            </w:pPr>
            <w:r w:rsidRPr="00DF55A1">
              <w:rPr>
                <w:rFonts w:eastAsia="Calibri" w:cs="Times New Roman"/>
                <w:bCs/>
              </w:rPr>
              <w:t>Generación actual</w:t>
            </w:r>
          </w:p>
        </w:tc>
        <w:tc>
          <w:tcPr>
            <w:tcW w:w="2452" w:type="dxa"/>
          </w:tcPr>
          <w:p w14:paraId="7E016F64" w14:textId="77777777" w:rsidR="002B0869" w:rsidRPr="00DF55A1" w:rsidRDefault="002B0869" w:rsidP="00C229F8">
            <w:pPr>
              <w:jc w:val="right"/>
              <w:rPr>
                <w:rFonts w:eastAsia="Calibri" w:cs="Times New Roman"/>
                <w:bCs/>
              </w:rPr>
            </w:pPr>
            <w:r w:rsidRPr="00DF55A1">
              <w:rPr>
                <w:rFonts w:eastAsia="Calibri" w:cs="Times New Roman"/>
                <w:bCs/>
              </w:rPr>
              <w:t>95,604,016,945</w:t>
            </w:r>
          </w:p>
        </w:tc>
      </w:tr>
      <w:tr w:rsidR="002B0869" w:rsidRPr="00DF55A1" w14:paraId="79729A3A" w14:textId="77777777" w:rsidTr="00C229F8">
        <w:trPr>
          <w:jc w:val="center"/>
        </w:trPr>
        <w:tc>
          <w:tcPr>
            <w:tcW w:w="4773" w:type="dxa"/>
          </w:tcPr>
          <w:p w14:paraId="6CEECD52" w14:textId="77777777" w:rsidR="002B0869" w:rsidRPr="00DF55A1" w:rsidRDefault="002B0869" w:rsidP="00C229F8">
            <w:pPr>
              <w:rPr>
                <w:rFonts w:eastAsia="Calibri" w:cs="Times New Roman"/>
                <w:bCs/>
              </w:rPr>
            </w:pPr>
            <w:r w:rsidRPr="00DF55A1">
              <w:rPr>
                <w:rFonts w:eastAsia="Calibri" w:cs="Times New Roman"/>
                <w:bCs/>
              </w:rPr>
              <w:t>Generaciones futuras</w:t>
            </w:r>
          </w:p>
        </w:tc>
        <w:tc>
          <w:tcPr>
            <w:tcW w:w="2452" w:type="dxa"/>
          </w:tcPr>
          <w:p w14:paraId="2047B189" w14:textId="77777777" w:rsidR="002B0869" w:rsidRPr="00DF55A1" w:rsidRDefault="002B0869" w:rsidP="00C229F8">
            <w:pPr>
              <w:jc w:val="right"/>
              <w:rPr>
                <w:rFonts w:eastAsia="Calibri" w:cs="Times New Roman"/>
                <w:bCs/>
              </w:rPr>
            </w:pPr>
            <w:r w:rsidRPr="00DF55A1">
              <w:rPr>
                <w:rFonts w:eastAsia="Calibri" w:cs="Times New Roman"/>
                <w:bCs/>
              </w:rPr>
              <w:t>64,095,294,340</w:t>
            </w:r>
          </w:p>
        </w:tc>
      </w:tr>
      <w:tr w:rsidR="002B0869" w:rsidRPr="00DF55A1" w14:paraId="035C4F40" w14:textId="77777777" w:rsidTr="00C229F8">
        <w:trPr>
          <w:jc w:val="center"/>
        </w:trPr>
        <w:tc>
          <w:tcPr>
            <w:tcW w:w="7225" w:type="dxa"/>
            <w:gridSpan w:val="2"/>
          </w:tcPr>
          <w:p w14:paraId="3C938B85" w14:textId="77777777" w:rsidR="002B0869" w:rsidRPr="00DF55A1" w:rsidRDefault="002B0869" w:rsidP="00C229F8">
            <w:pPr>
              <w:rPr>
                <w:rFonts w:eastAsia="Calibri" w:cs="Times New Roman"/>
                <w:bCs/>
              </w:rPr>
            </w:pPr>
            <w:r w:rsidRPr="00DF55A1">
              <w:rPr>
                <w:rFonts w:eastAsia="Calibri" w:cs="Times New Roman"/>
                <w:b/>
              </w:rPr>
              <w:t>Valor presente de aportaciones futuras</w:t>
            </w:r>
          </w:p>
        </w:tc>
      </w:tr>
      <w:tr w:rsidR="002B0869" w:rsidRPr="00DF55A1" w14:paraId="68BBB547" w14:textId="77777777" w:rsidTr="00C229F8">
        <w:trPr>
          <w:jc w:val="center"/>
        </w:trPr>
        <w:tc>
          <w:tcPr>
            <w:tcW w:w="4773" w:type="dxa"/>
          </w:tcPr>
          <w:p w14:paraId="07590D3D" w14:textId="77777777" w:rsidR="002B0869" w:rsidRPr="00DF55A1" w:rsidRDefault="002B0869" w:rsidP="00C229F8">
            <w:pPr>
              <w:rPr>
                <w:rFonts w:eastAsia="Calibri" w:cs="Times New Roman"/>
                <w:bCs/>
              </w:rPr>
            </w:pPr>
            <w:r w:rsidRPr="00DF55A1">
              <w:rPr>
                <w:rFonts w:eastAsia="Calibri" w:cs="Times New Roman"/>
                <w:bCs/>
              </w:rPr>
              <w:lastRenderedPageBreak/>
              <w:t>Generación actual</w:t>
            </w:r>
          </w:p>
        </w:tc>
        <w:tc>
          <w:tcPr>
            <w:tcW w:w="2452" w:type="dxa"/>
          </w:tcPr>
          <w:p w14:paraId="7E5D9F78" w14:textId="77777777" w:rsidR="002B0869" w:rsidRPr="00DF55A1" w:rsidRDefault="002B0869" w:rsidP="00C229F8">
            <w:pPr>
              <w:jc w:val="right"/>
              <w:rPr>
                <w:rFonts w:eastAsia="Calibri" w:cs="Times New Roman"/>
                <w:bCs/>
              </w:rPr>
            </w:pPr>
            <w:r w:rsidRPr="00DF55A1">
              <w:rPr>
                <w:rFonts w:eastAsia="Calibri" w:cs="Times New Roman"/>
                <w:bCs/>
              </w:rPr>
              <w:t>24,000,495,520</w:t>
            </w:r>
          </w:p>
        </w:tc>
      </w:tr>
      <w:tr w:rsidR="002B0869" w:rsidRPr="00DF55A1" w14:paraId="3E2F8BD5" w14:textId="77777777" w:rsidTr="00C229F8">
        <w:trPr>
          <w:jc w:val="center"/>
        </w:trPr>
        <w:tc>
          <w:tcPr>
            <w:tcW w:w="4773" w:type="dxa"/>
          </w:tcPr>
          <w:p w14:paraId="04265A36" w14:textId="77777777" w:rsidR="002B0869" w:rsidRPr="00DF55A1" w:rsidRDefault="002B0869" w:rsidP="00C229F8">
            <w:pPr>
              <w:rPr>
                <w:rFonts w:eastAsia="Calibri" w:cs="Times New Roman"/>
                <w:bCs/>
              </w:rPr>
            </w:pPr>
            <w:r w:rsidRPr="00DF55A1">
              <w:rPr>
                <w:rFonts w:eastAsia="Calibri" w:cs="Times New Roman"/>
                <w:bCs/>
              </w:rPr>
              <w:t xml:space="preserve">Generaciones Futuras </w:t>
            </w:r>
          </w:p>
        </w:tc>
        <w:tc>
          <w:tcPr>
            <w:tcW w:w="2452" w:type="dxa"/>
          </w:tcPr>
          <w:p w14:paraId="4E5F6EEE" w14:textId="77777777" w:rsidR="002B0869" w:rsidRPr="00DF55A1" w:rsidRDefault="002B0869" w:rsidP="00C229F8">
            <w:pPr>
              <w:jc w:val="right"/>
              <w:rPr>
                <w:rFonts w:eastAsia="Calibri" w:cs="Times New Roman"/>
                <w:bCs/>
              </w:rPr>
            </w:pPr>
            <w:r w:rsidRPr="00DF55A1">
              <w:rPr>
                <w:rFonts w:eastAsia="Calibri" w:cs="Times New Roman"/>
                <w:bCs/>
              </w:rPr>
              <w:t>50,225,154,657</w:t>
            </w:r>
          </w:p>
        </w:tc>
      </w:tr>
      <w:tr w:rsidR="002B0869" w:rsidRPr="00DF55A1" w14:paraId="433636BF" w14:textId="77777777" w:rsidTr="00C229F8">
        <w:trPr>
          <w:jc w:val="center"/>
        </w:trPr>
        <w:tc>
          <w:tcPr>
            <w:tcW w:w="7225" w:type="dxa"/>
            <w:gridSpan w:val="2"/>
          </w:tcPr>
          <w:p w14:paraId="41144F62" w14:textId="77777777" w:rsidR="002B0869" w:rsidRPr="00DF55A1" w:rsidRDefault="002B0869" w:rsidP="00C229F8">
            <w:pPr>
              <w:rPr>
                <w:rFonts w:eastAsia="Calibri" w:cs="Times New Roman"/>
                <w:bCs/>
              </w:rPr>
            </w:pPr>
            <w:r w:rsidRPr="00DF55A1">
              <w:rPr>
                <w:rFonts w:eastAsia="Calibri" w:cs="Times New Roman"/>
                <w:b/>
              </w:rPr>
              <w:t>Déficit/superávit actuarial*</w:t>
            </w:r>
          </w:p>
        </w:tc>
      </w:tr>
      <w:tr w:rsidR="002B0869" w:rsidRPr="00DF55A1" w14:paraId="27EFE266" w14:textId="77777777" w:rsidTr="00C229F8">
        <w:trPr>
          <w:jc w:val="center"/>
        </w:trPr>
        <w:tc>
          <w:tcPr>
            <w:tcW w:w="4773" w:type="dxa"/>
          </w:tcPr>
          <w:p w14:paraId="11DF168E" w14:textId="77777777" w:rsidR="002B0869" w:rsidRPr="00DF55A1" w:rsidRDefault="002B0869" w:rsidP="00C229F8">
            <w:pPr>
              <w:rPr>
                <w:rFonts w:eastAsia="Calibri" w:cs="Times New Roman"/>
                <w:bCs/>
              </w:rPr>
            </w:pPr>
            <w:r w:rsidRPr="00DF55A1">
              <w:rPr>
                <w:rFonts w:eastAsia="Calibri" w:cs="Times New Roman"/>
                <w:bCs/>
              </w:rPr>
              <w:t>Generación actual</w:t>
            </w:r>
          </w:p>
        </w:tc>
        <w:tc>
          <w:tcPr>
            <w:tcW w:w="2452" w:type="dxa"/>
          </w:tcPr>
          <w:p w14:paraId="3670FEE8" w14:textId="77777777" w:rsidR="002B0869" w:rsidRPr="00DF55A1" w:rsidRDefault="002B0869" w:rsidP="00C229F8">
            <w:pPr>
              <w:jc w:val="right"/>
              <w:rPr>
                <w:rFonts w:eastAsia="Calibri" w:cs="Times New Roman"/>
                <w:bCs/>
              </w:rPr>
            </w:pPr>
            <w:r w:rsidRPr="00DF55A1">
              <w:rPr>
                <w:rFonts w:eastAsia="Calibri" w:cs="Times New Roman"/>
                <w:bCs/>
              </w:rPr>
              <w:t>-86,574,353,294</w:t>
            </w:r>
          </w:p>
        </w:tc>
      </w:tr>
      <w:tr w:rsidR="002B0869" w:rsidRPr="00DF55A1" w14:paraId="35C6B38B" w14:textId="77777777" w:rsidTr="00C229F8">
        <w:trPr>
          <w:jc w:val="center"/>
        </w:trPr>
        <w:tc>
          <w:tcPr>
            <w:tcW w:w="4773" w:type="dxa"/>
          </w:tcPr>
          <w:p w14:paraId="38CD2DE9" w14:textId="77777777" w:rsidR="002B0869" w:rsidRPr="00DF55A1" w:rsidRDefault="002B0869" w:rsidP="00C229F8">
            <w:pPr>
              <w:rPr>
                <w:rFonts w:eastAsia="Calibri" w:cs="Times New Roman"/>
                <w:bCs/>
              </w:rPr>
            </w:pPr>
            <w:r w:rsidRPr="00DF55A1">
              <w:rPr>
                <w:rFonts w:eastAsia="Calibri" w:cs="Times New Roman"/>
                <w:bCs/>
              </w:rPr>
              <w:t xml:space="preserve">Generaciones Futuras </w:t>
            </w:r>
          </w:p>
        </w:tc>
        <w:tc>
          <w:tcPr>
            <w:tcW w:w="2452" w:type="dxa"/>
          </w:tcPr>
          <w:p w14:paraId="326708BB" w14:textId="77777777" w:rsidR="002B0869" w:rsidRPr="00DF55A1" w:rsidRDefault="002B0869" w:rsidP="00C229F8">
            <w:pPr>
              <w:jc w:val="right"/>
              <w:rPr>
                <w:rFonts w:eastAsia="Calibri" w:cs="Times New Roman"/>
                <w:bCs/>
              </w:rPr>
            </w:pPr>
            <w:r w:rsidRPr="00DF55A1">
              <w:rPr>
                <w:rFonts w:eastAsia="Calibri" w:cs="Times New Roman"/>
                <w:bCs/>
              </w:rPr>
              <w:t>-13,870,139,683</w:t>
            </w:r>
          </w:p>
        </w:tc>
      </w:tr>
      <w:tr w:rsidR="002B0869" w:rsidRPr="00DF55A1" w14:paraId="6CDAE6DA" w14:textId="77777777" w:rsidTr="00C229F8">
        <w:trPr>
          <w:jc w:val="center"/>
        </w:trPr>
        <w:tc>
          <w:tcPr>
            <w:tcW w:w="7225" w:type="dxa"/>
            <w:gridSpan w:val="2"/>
          </w:tcPr>
          <w:p w14:paraId="22E2AB86" w14:textId="77777777" w:rsidR="002B0869" w:rsidRPr="00DF55A1" w:rsidRDefault="002B0869" w:rsidP="00C229F8">
            <w:pPr>
              <w:rPr>
                <w:rFonts w:eastAsia="Calibri" w:cs="Times New Roman"/>
                <w:bCs/>
              </w:rPr>
            </w:pPr>
            <w:r w:rsidRPr="00DF55A1">
              <w:rPr>
                <w:rFonts w:eastAsia="Calibri" w:cs="Times New Roman"/>
                <w:b/>
              </w:rPr>
              <w:t>Estudio Actuarial</w:t>
            </w:r>
          </w:p>
        </w:tc>
      </w:tr>
      <w:tr w:rsidR="002B0869" w:rsidRPr="00DF55A1" w14:paraId="53D77E50" w14:textId="77777777" w:rsidTr="00C229F8">
        <w:trPr>
          <w:jc w:val="center"/>
        </w:trPr>
        <w:tc>
          <w:tcPr>
            <w:tcW w:w="4773" w:type="dxa"/>
          </w:tcPr>
          <w:p w14:paraId="24D73BB9" w14:textId="77777777" w:rsidR="002B0869" w:rsidRPr="00DF55A1" w:rsidRDefault="002B0869" w:rsidP="00C229F8">
            <w:pPr>
              <w:rPr>
                <w:rFonts w:eastAsia="Calibri" w:cs="Times New Roman"/>
                <w:bCs/>
              </w:rPr>
            </w:pPr>
            <w:r w:rsidRPr="00DF55A1">
              <w:rPr>
                <w:rFonts w:eastAsia="Calibri" w:cs="Times New Roman"/>
                <w:bCs/>
              </w:rPr>
              <w:t>Año de elaboración del estudio actuarial</w:t>
            </w:r>
          </w:p>
        </w:tc>
        <w:tc>
          <w:tcPr>
            <w:tcW w:w="2452" w:type="dxa"/>
          </w:tcPr>
          <w:p w14:paraId="701AEBDD" w14:textId="77777777" w:rsidR="002B0869" w:rsidRPr="00DF55A1" w:rsidRDefault="002B0869" w:rsidP="00C229F8">
            <w:pPr>
              <w:jc w:val="center"/>
              <w:rPr>
                <w:rFonts w:eastAsia="Calibri" w:cs="Times New Roman"/>
                <w:bCs/>
              </w:rPr>
            </w:pPr>
            <w:r w:rsidRPr="00DF55A1">
              <w:rPr>
                <w:rFonts w:eastAsia="Calibri" w:cs="Times New Roman"/>
                <w:bCs/>
              </w:rPr>
              <w:t>2022</w:t>
            </w:r>
          </w:p>
        </w:tc>
      </w:tr>
      <w:tr w:rsidR="002B0869" w:rsidRPr="00DF55A1" w14:paraId="1E479D0E" w14:textId="77777777" w:rsidTr="00C229F8">
        <w:trPr>
          <w:jc w:val="center"/>
        </w:trPr>
        <w:tc>
          <w:tcPr>
            <w:tcW w:w="4773" w:type="dxa"/>
          </w:tcPr>
          <w:p w14:paraId="0D1594D0" w14:textId="77777777" w:rsidR="002B0869" w:rsidRPr="00DF55A1" w:rsidRDefault="002B0869" w:rsidP="00C229F8">
            <w:pPr>
              <w:rPr>
                <w:rFonts w:eastAsia="Calibri" w:cs="Times New Roman"/>
                <w:bCs/>
              </w:rPr>
            </w:pPr>
            <w:r w:rsidRPr="00DF55A1">
              <w:rPr>
                <w:rFonts w:eastAsia="Calibri" w:cs="Times New Roman"/>
                <w:bCs/>
              </w:rPr>
              <w:t>Empresa que elaboró el estudio actuarial</w:t>
            </w:r>
          </w:p>
        </w:tc>
        <w:tc>
          <w:tcPr>
            <w:tcW w:w="2452" w:type="dxa"/>
          </w:tcPr>
          <w:p w14:paraId="0FFAA98F" w14:textId="77777777" w:rsidR="002B0869" w:rsidRPr="00DF55A1" w:rsidRDefault="002B0869" w:rsidP="00C229F8">
            <w:pPr>
              <w:jc w:val="center"/>
              <w:rPr>
                <w:rFonts w:eastAsia="Calibri" w:cs="Times New Roman"/>
                <w:bCs/>
              </w:rPr>
            </w:pPr>
            <w:r w:rsidRPr="00DF55A1">
              <w:rPr>
                <w:rFonts w:eastAsia="Calibri" w:cs="Times New Roman"/>
                <w:bCs/>
              </w:rPr>
              <w:t>Farell Grupo de Consultoría, S.C</w:t>
            </w:r>
          </w:p>
        </w:tc>
      </w:tr>
      <w:tr w:rsidR="002B0869" w:rsidRPr="00DF55A1" w14:paraId="6D9F7C6F" w14:textId="77777777" w:rsidTr="00C229F8">
        <w:trPr>
          <w:jc w:val="center"/>
        </w:trPr>
        <w:tc>
          <w:tcPr>
            <w:tcW w:w="7225" w:type="dxa"/>
            <w:gridSpan w:val="2"/>
          </w:tcPr>
          <w:p w14:paraId="3C60EE37" w14:textId="77777777" w:rsidR="002B0869" w:rsidRPr="00DF55A1" w:rsidRDefault="002B0869" w:rsidP="00C229F8">
            <w:pPr>
              <w:rPr>
                <w:rFonts w:eastAsia="Calibri" w:cs="Times New Roman"/>
                <w:bCs/>
              </w:rPr>
            </w:pPr>
            <w:r w:rsidRPr="00DF55A1">
              <w:rPr>
                <w:rFonts w:eastAsia="Calibri"/>
                <w:bCs/>
              </w:rPr>
              <w:t>*El déficit/superávit actuarial contiene otros gastos y otros ingresos</w:t>
            </w:r>
          </w:p>
        </w:tc>
      </w:tr>
    </w:tbl>
    <w:p w14:paraId="1A75A0F8" w14:textId="77777777" w:rsidR="002B0869" w:rsidRPr="00DF55A1" w:rsidRDefault="002B0869" w:rsidP="002B0869">
      <w:pPr>
        <w:spacing w:before="0" w:after="0"/>
        <w:rPr>
          <w:rFonts w:eastAsia="Calibri" w:cs="Times New Roman"/>
          <w:bCs/>
          <w:sz w:val="22"/>
          <w:szCs w:val="22"/>
        </w:rPr>
      </w:pPr>
    </w:p>
    <w:p w14:paraId="2DACFA46" w14:textId="77777777" w:rsidR="002B0869" w:rsidRPr="00DF55A1" w:rsidRDefault="002B0869" w:rsidP="002B0869">
      <w:pPr>
        <w:spacing w:before="0" w:after="0"/>
        <w:ind w:left="720"/>
        <w:rPr>
          <w:rFonts w:eastAsia="Calibri" w:cs="Times New Roman"/>
          <w:b/>
          <w:sz w:val="22"/>
          <w:szCs w:val="22"/>
        </w:rPr>
      </w:pPr>
      <w:r w:rsidRPr="00DF55A1">
        <w:rPr>
          <w:rFonts w:eastAsia="Calibri" w:cs="Times New Roman"/>
          <w:b/>
          <w:sz w:val="22"/>
          <w:szCs w:val="22"/>
        </w:rPr>
        <w:t>f) Provisiones.</w:t>
      </w:r>
    </w:p>
    <w:p w14:paraId="600A2166" w14:textId="77777777" w:rsidR="002B0869" w:rsidRDefault="002B0869" w:rsidP="002B0869">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provisiones que deban ser reconocidas en los estados financieros. Por lo tanto, no se han registrado movimientos ni saldos relacionados con provisiones en este período.</w:t>
      </w:r>
    </w:p>
    <w:p w14:paraId="7FB03B50" w14:textId="77777777" w:rsidR="002B0869" w:rsidRPr="00DF55A1" w:rsidRDefault="002B0869" w:rsidP="002B0869">
      <w:pPr>
        <w:spacing w:before="0" w:after="0"/>
        <w:ind w:left="720"/>
        <w:rPr>
          <w:rFonts w:eastAsia="Calibri" w:cs="Times New Roman"/>
          <w:bCs/>
          <w:sz w:val="22"/>
          <w:szCs w:val="22"/>
        </w:rPr>
      </w:pPr>
    </w:p>
    <w:p w14:paraId="26E07688" w14:textId="77777777" w:rsidR="002B0869" w:rsidRPr="00DF55A1" w:rsidRDefault="002B0869" w:rsidP="002B0869">
      <w:pPr>
        <w:spacing w:before="0" w:after="0"/>
        <w:ind w:left="720"/>
        <w:rPr>
          <w:rFonts w:eastAsia="Calibri" w:cs="Times New Roman"/>
          <w:b/>
          <w:sz w:val="22"/>
          <w:szCs w:val="22"/>
        </w:rPr>
      </w:pPr>
      <w:r w:rsidRPr="00DF55A1">
        <w:rPr>
          <w:rFonts w:eastAsia="Calibri" w:cs="Times New Roman"/>
          <w:b/>
          <w:sz w:val="22"/>
          <w:szCs w:val="22"/>
        </w:rPr>
        <w:t>g) Reservas.</w:t>
      </w:r>
    </w:p>
    <w:p w14:paraId="0C300CA9" w14:textId="77777777" w:rsidR="002B0869" w:rsidRDefault="002B0869" w:rsidP="002B0869">
      <w:pPr>
        <w:spacing w:before="0" w:after="0"/>
        <w:ind w:left="720"/>
        <w:rPr>
          <w:rFonts w:eastAsia="Calibri" w:cs="Times New Roman"/>
          <w:bCs/>
          <w:sz w:val="22"/>
          <w:szCs w:val="22"/>
        </w:rPr>
      </w:pPr>
      <w:r w:rsidRPr="00DF55A1">
        <w:rPr>
          <w:rFonts w:eastAsia="Calibri" w:cs="Times New Roman"/>
          <w:bCs/>
          <w:sz w:val="22"/>
          <w:szCs w:val="22"/>
        </w:rPr>
        <w:t>Durante el período contable, no se han identificado reservas que deban ser reconocidas en los estados financieros. Por lo tanto, no se han registrado movimientos ni saldos relacionado</w:t>
      </w:r>
      <w:r>
        <w:rPr>
          <w:rFonts w:eastAsia="Calibri" w:cs="Times New Roman"/>
          <w:bCs/>
          <w:sz w:val="22"/>
          <w:szCs w:val="22"/>
        </w:rPr>
        <w:t>s con reservas en este período.</w:t>
      </w:r>
    </w:p>
    <w:p w14:paraId="2A626D49" w14:textId="77777777" w:rsidR="002B0869" w:rsidRPr="0089015B" w:rsidRDefault="002B0869" w:rsidP="002B0869">
      <w:pPr>
        <w:spacing w:before="0" w:after="0"/>
        <w:ind w:left="720"/>
        <w:rPr>
          <w:rFonts w:eastAsia="Calibri" w:cs="Times New Roman"/>
          <w:bCs/>
          <w:sz w:val="22"/>
          <w:szCs w:val="22"/>
        </w:rPr>
      </w:pPr>
    </w:p>
    <w:p w14:paraId="1D0764B6" w14:textId="77777777" w:rsidR="002B0869" w:rsidRPr="00DF55A1" w:rsidRDefault="002B0869" w:rsidP="002B0869">
      <w:pPr>
        <w:spacing w:before="0" w:after="0"/>
        <w:ind w:left="720"/>
        <w:rPr>
          <w:rFonts w:eastAsia="Calibri" w:cs="Times New Roman"/>
          <w:b/>
          <w:bCs/>
          <w:sz w:val="22"/>
          <w:szCs w:val="22"/>
        </w:rPr>
      </w:pPr>
      <w:r w:rsidRPr="00DF55A1">
        <w:rPr>
          <w:rFonts w:eastAsia="Calibri" w:cs="Times New Roman"/>
          <w:b/>
          <w:bCs/>
          <w:sz w:val="22"/>
          <w:szCs w:val="22"/>
        </w:rPr>
        <w:t>h) Cambios en políticas contables y corrección de errores junto con la revelación.</w:t>
      </w:r>
    </w:p>
    <w:p w14:paraId="3FAF4FC4" w14:textId="77777777" w:rsidR="002B0869" w:rsidRPr="00DF55A1" w:rsidRDefault="002B0869" w:rsidP="002B0869">
      <w:pPr>
        <w:spacing w:before="0" w:after="0"/>
        <w:ind w:left="720"/>
        <w:rPr>
          <w:rFonts w:eastAsia="Calibri" w:cs="Times New Roman"/>
          <w:bCs/>
          <w:sz w:val="22"/>
          <w:szCs w:val="22"/>
        </w:rPr>
      </w:pPr>
      <w:r w:rsidRPr="00DF55A1">
        <w:rPr>
          <w:rFonts w:eastAsia="Calibri" w:cs="Times New Roman"/>
          <w:bCs/>
          <w:sz w:val="22"/>
          <w:szCs w:val="22"/>
        </w:rPr>
        <w:t xml:space="preserve">Durante el período contable, no se han realizado cambios en las políticas contables adoptadas por la Secretaría de Finanzas </w:t>
      </w:r>
      <w:r w:rsidRPr="00DF55A1">
        <w:rPr>
          <w:rFonts w:eastAsia="Calibri" w:cs="Times New Roman"/>
          <w:bCs/>
          <w:sz w:val="22"/>
          <w:szCs w:val="22"/>
        </w:rPr>
        <w:lastRenderedPageBreak/>
        <w:t>y Administración. Las políticas contables aplicadas son consistentes con las utilizadas en los períodos anteriores.</w:t>
      </w:r>
    </w:p>
    <w:p w14:paraId="4393EE24" w14:textId="77777777" w:rsidR="002B0869" w:rsidRPr="004F06F2" w:rsidRDefault="002B0869" w:rsidP="002B0869">
      <w:pPr>
        <w:spacing w:before="0" w:after="0"/>
        <w:rPr>
          <w:rFonts w:eastAsia="Calibri" w:cs="Times New Roman"/>
          <w:bCs/>
          <w:sz w:val="22"/>
          <w:szCs w:val="22"/>
        </w:rPr>
      </w:pPr>
    </w:p>
    <w:p w14:paraId="1D23B00D"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6</w:t>
      </w:r>
      <w:r w:rsidRPr="00CF40B9">
        <w:rPr>
          <w:rFonts w:eastAsia="Calibri" w:cs="Times New Roman"/>
          <w:b/>
          <w:sz w:val="22"/>
          <w:szCs w:val="22"/>
        </w:rPr>
        <w:t>. Posición en moneda extranjera y protección por riesgo cambiario.</w:t>
      </w:r>
    </w:p>
    <w:p w14:paraId="7D259572" w14:textId="77777777" w:rsidR="002B0869" w:rsidRPr="004F06F2" w:rsidRDefault="002B0869" w:rsidP="002B0869">
      <w:pPr>
        <w:spacing w:before="0" w:after="0"/>
        <w:rPr>
          <w:rFonts w:eastAsia="Calibri" w:cs="Times New Roman"/>
          <w:b/>
          <w:sz w:val="22"/>
          <w:szCs w:val="22"/>
        </w:rPr>
      </w:pPr>
    </w:p>
    <w:p w14:paraId="25E3357F" w14:textId="77777777" w:rsidR="002B0869" w:rsidRDefault="002B0869" w:rsidP="002B0869">
      <w:pPr>
        <w:spacing w:before="0" w:after="0"/>
        <w:rPr>
          <w:rFonts w:eastAsia="Calibri" w:cs="Times New Roman"/>
          <w:bCs/>
          <w:sz w:val="22"/>
          <w:szCs w:val="22"/>
        </w:rPr>
      </w:pPr>
      <w:r w:rsidRPr="004F06F2">
        <w:rPr>
          <w:rFonts w:eastAsia="Calibri" w:cs="Times New Roman"/>
          <w:bCs/>
          <w:sz w:val="22"/>
          <w:szCs w:val="22"/>
        </w:rPr>
        <w:t>El Gobierno del Estado de Michoacán no cuenta con activos o pasivos en moneda extranjera, por lo que no es necesario ningún método de protección de riesgo por variaciones en el tipo de cambio.</w:t>
      </w:r>
    </w:p>
    <w:p w14:paraId="1887FF03" w14:textId="77777777" w:rsidR="002B0869" w:rsidRPr="00CF40B9" w:rsidRDefault="002B0869" w:rsidP="002B0869">
      <w:pPr>
        <w:spacing w:before="0" w:after="0"/>
        <w:rPr>
          <w:rFonts w:eastAsia="Calibri" w:cs="Times New Roman"/>
          <w:bCs/>
          <w:sz w:val="22"/>
          <w:szCs w:val="22"/>
        </w:rPr>
      </w:pPr>
    </w:p>
    <w:p w14:paraId="344EE092" w14:textId="77777777" w:rsidR="002B0869" w:rsidRPr="0048691E" w:rsidRDefault="002B0869" w:rsidP="002B0869">
      <w:pPr>
        <w:spacing w:before="0" w:after="0"/>
        <w:rPr>
          <w:rFonts w:eastAsia="Calibri" w:cs="Times New Roman"/>
          <w:b/>
          <w:sz w:val="22"/>
          <w:szCs w:val="22"/>
        </w:rPr>
      </w:pPr>
      <w:r w:rsidRPr="0048691E">
        <w:rPr>
          <w:rFonts w:eastAsia="Calibri" w:cs="Times New Roman"/>
          <w:b/>
          <w:sz w:val="22"/>
          <w:szCs w:val="22"/>
        </w:rPr>
        <w:t>7. Reporte Analítico del Activo.</w:t>
      </w:r>
    </w:p>
    <w:p w14:paraId="510A09A5" w14:textId="77777777" w:rsidR="002B0869" w:rsidRPr="00162A85" w:rsidRDefault="002B0869" w:rsidP="002B0869">
      <w:pPr>
        <w:spacing w:before="0" w:after="0"/>
        <w:rPr>
          <w:rFonts w:eastAsia="Calibri" w:cs="Times New Roman"/>
          <w:b/>
          <w:sz w:val="22"/>
          <w:szCs w:val="22"/>
          <w:highlight w:val="yellow"/>
        </w:rPr>
      </w:pPr>
    </w:p>
    <w:p w14:paraId="0920D929" w14:textId="77777777" w:rsidR="002B0869" w:rsidRPr="00DF55A1" w:rsidRDefault="002B0869" w:rsidP="002B0869">
      <w:pPr>
        <w:spacing w:before="0" w:after="0"/>
        <w:rPr>
          <w:rFonts w:eastAsia="Calibri" w:cs="Times New Roman"/>
          <w:sz w:val="22"/>
          <w:szCs w:val="22"/>
        </w:rPr>
      </w:pPr>
      <w:r w:rsidRPr="00DF55A1">
        <w:rPr>
          <w:rFonts w:eastAsia="Calibri" w:cs="Times New Roman"/>
          <w:sz w:val="22"/>
          <w:szCs w:val="22"/>
        </w:rPr>
        <w:t xml:space="preserve">De acuerdo a la vida útil estimada y porcentajes de depreciación se toman como referencia los Parámetros de Estimación de Vida Útil publicados </w:t>
      </w:r>
      <w:r w:rsidRPr="00DF55A1">
        <w:rPr>
          <w:sz w:val="22"/>
          <w:szCs w:val="22"/>
        </w:rPr>
        <w:t>en el Periódico Oficial de la Federación, el día 15 de agosto de 2012.</w:t>
      </w:r>
    </w:p>
    <w:p w14:paraId="4C37A1AE" w14:textId="77777777" w:rsidR="002B0869" w:rsidRPr="00DF55A1" w:rsidRDefault="002B0869" w:rsidP="002B0869">
      <w:pPr>
        <w:rPr>
          <w:sz w:val="22"/>
          <w:szCs w:val="22"/>
        </w:rPr>
      </w:pPr>
    </w:p>
    <w:p w14:paraId="0D427B5D" w14:textId="77777777" w:rsidR="002B0869" w:rsidRPr="00A31D94" w:rsidRDefault="002B0869" w:rsidP="002B0869">
      <w:pPr>
        <w:spacing w:before="0" w:after="0"/>
        <w:rPr>
          <w:rFonts w:eastAsia="Calibri" w:cs="Times New Roman"/>
          <w:sz w:val="22"/>
          <w:szCs w:val="22"/>
        </w:rPr>
      </w:pPr>
      <w:r w:rsidRPr="00A31D94">
        <w:rPr>
          <w:rFonts w:eastAsia="Calibri" w:cs="Times New Roman"/>
          <w:sz w:val="22"/>
          <w:szCs w:val="22"/>
        </w:rPr>
        <w:t>El</w:t>
      </w:r>
      <w:r>
        <w:rPr>
          <w:rFonts w:eastAsia="Calibri" w:cs="Times New Roman"/>
          <w:sz w:val="22"/>
          <w:szCs w:val="22"/>
        </w:rPr>
        <w:t xml:space="preserve"> </w:t>
      </w:r>
      <w:r w:rsidRPr="00A31D94">
        <w:rPr>
          <w:rFonts w:eastAsia="Calibri" w:cs="Times New Roman"/>
          <w:sz w:val="22"/>
          <w:szCs w:val="22"/>
        </w:rPr>
        <w:t>proceso de administración del alta de un bien inmueble, puede ser: por adquisición, expropiación, donación, regularización, permuta y disposición entre otros, en el caso de las áreas de donación a favor del Gobierno del Estado, se destinara el 3% del área total del predio, la cual se escritura a favor de Gobierno del Estado de Michoacán, esta superficie se regulariza a través de las donaciones, de cualquiera de los tipos que se señalan el Código de Desarrollo Urbano del Estado de Michoacán de Ocampo, en su artículo 149, para el Ejercicio Fiscal 2025.</w:t>
      </w:r>
    </w:p>
    <w:p w14:paraId="4A834885" w14:textId="77777777" w:rsidR="002B0869" w:rsidRPr="00A31D94" w:rsidRDefault="002B0869" w:rsidP="002B0869">
      <w:pPr>
        <w:spacing w:before="0" w:after="0"/>
        <w:rPr>
          <w:rFonts w:eastAsia="Calibri" w:cs="Times New Roman"/>
          <w:sz w:val="22"/>
          <w:szCs w:val="22"/>
        </w:rPr>
      </w:pPr>
    </w:p>
    <w:p w14:paraId="2981F6D3" w14:textId="77777777" w:rsidR="002B0869" w:rsidRPr="00A31D94" w:rsidRDefault="002B0869" w:rsidP="002B0869">
      <w:pPr>
        <w:spacing w:before="0" w:after="0"/>
        <w:rPr>
          <w:rFonts w:eastAsia="Calibri" w:cs="Times New Roman"/>
          <w:sz w:val="22"/>
          <w:szCs w:val="22"/>
        </w:rPr>
      </w:pPr>
      <w:r w:rsidRPr="00A31D94">
        <w:rPr>
          <w:rFonts w:eastAsia="Calibri" w:cs="Times New Roman"/>
          <w:sz w:val="22"/>
          <w:szCs w:val="22"/>
        </w:rPr>
        <w:t>La depreciación se calcula a partir del mes siguiente al de su registro o control, considerando si la fecha de control de registro es el día 16, se considera para su aplicación de la depreciación al siguiente mes, si la fecha es antes del día 15, se le aplicará en el mismo mes, la depreciación.</w:t>
      </w:r>
    </w:p>
    <w:p w14:paraId="79E6D4B1" w14:textId="77777777" w:rsidR="002B0869" w:rsidRPr="00A31D94" w:rsidRDefault="002B0869" w:rsidP="002B0869">
      <w:pPr>
        <w:spacing w:before="0" w:after="0"/>
        <w:rPr>
          <w:rFonts w:eastAsia="Calibri" w:cs="Times New Roman"/>
          <w:sz w:val="22"/>
          <w:szCs w:val="22"/>
        </w:rPr>
      </w:pPr>
      <w:r w:rsidRPr="00A31D94">
        <w:rPr>
          <w:rFonts w:eastAsia="Calibri" w:cs="Times New Roman"/>
          <w:sz w:val="22"/>
          <w:szCs w:val="22"/>
        </w:rPr>
        <w:t xml:space="preserve">En caso de que un bien se encuentre totalmente depreciado, pero se considera que aún cuenta con vida útil, se determinará el tiempo </w:t>
      </w:r>
      <w:r w:rsidRPr="00A31D94">
        <w:rPr>
          <w:rFonts w:eastAsia="Calibri" w:cs="Times New Roman"/>
          <w:sz w:val="22"/>
          <w:szCs w:val="22"/>
        </w:rPr>
        <w:lastRenderedPageBreak/>
        <w:t>aproximado de vida útil del bien mueble y se mantendrá en la contabilidad el valor correspondiente.</w:t>
      </w:r>
    </w:p>
    <w:p w14:paraId="277A748D" w14:textId="77777777" w:rsidR="002B0869" w:rsidRPr="00A31D94" w:rsidRDefault="002B0869" w:rsidP="002B0869">
      <w:pPr>
        <w:spacing w:before="0" w:after="0"/>
        <w:rPr>
          <w:rFonts w:eastAsia="Calibri" w:cs="Times New Roman"/>
          <w:sz w:val="22"/>
          <w:szCs w:val="22"/>
        </w:rPr>
      </w:pPr>
    </w:p>
    <w:p w14:paraId="1FD60E94" w14:textId="77777777" w:rsidR="002B0869" w:rsidRPr="00A31D94" w:rsidRDefault="002B0869" w:rsidP="002B0869">
      <w:pPr>
        <w:spacing w:before="0" w:after="0"/>
        <w:rPr>
          <w:rFonts w:eastAsia="Calibri" w:cs="Times New Roman"/>
          <w:sz w:val="22"/>
          <w:szCs w:val="22"/>
        </w:rPr>
      </w:pPr>
      <w:r w:rsidRPr="00A31D94">
        <w:rPr>
          <w:rFonts w:eastAsia="Calibri" w:cs="Times New Roman"/>
          <w:sz w:val="22"/>
          <w:szCs w:val="22"/>
        </w:rPr>
        <w:t>Las obras de arte, animales y terrenos no serán sujetos al proceso de depreciación.</w:t>
      </w:r>
    </w:p>
    <w:p w14:paraId="71FA16EF" w14:textId="77777777" w:rsidR="002B0869" w:rsidRPr="00A31D94" w:rsidRDefault="002B0869" w:rsidP="002B0869">
      <w:pPr>
        <w:spacing w:before="0" w:after="0"/>
        <w:rPr>
          <w:rFonts w:eastAsia="Calibri" w:cs="Times New Roman"/>
          <w:sz w:val="22"/>
          <w:szCs w:val="22"/>
        </w:rPr>
      </w:pPr>
    </w:p>
    <w:p w14:paraId="224EC07E" w14:textId="77777777" w:rsidR="002B0869" w:rsidRPr="00A31D94" w:rsidRDefault="002B0869" w:rsidP="002B0869">
      <w:pPr>
        <w:spacing w:before="0" w:after="0"/>
        <w:rPr>
          <w:rFonts w:eastAsia="Calibri" w:cs="Times New Roman"/>
          <w:sz w:val="22"/>
          <w:szCs w:val="22"/>
        </w:rPr>
      </w:pPr>
      <w:r w:rsidRPr="00A31D94">
        <w:rPr>
          <w:rFonts w:eastAsia="Calibri" w:cs="Times New Roman"/>
          <w:sz w:val="22"/>
          <w:szCs w:val="22"/>
        </w:rPr>
        <w:t>Los porcentajes de depreciación se aplican dividiendo los años de vida útil del bien, entre su valor de adquisición, de conformidad con los parámetros establecidos por el Consejo Nacional de Armonización Contable.</w:t>
      </w:r>
    </w:p>
    <w:p w14:paraId="423B6A61" w14:textId="77777777" w:rsidR="002B0869" w:rsidRPr="00DF55A1" w:rsidRDefault="002B0869" w:rsidP="002B0869">
      <w:pPr>
        <w:spacing w:before="0" w:after="0"/>
        <w:rPr>
          <w:sz w:val="22"/>
          <w:szCs w:val="22"/>
        </w:rPr>
      </w:pPr>
    </w:p>
    <w:p w14:paraId="7C6CE573"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t>b) Cambios en el porcentaje de depreciación o valor residual de los activos.</w:t>
      </w:r>
    </w:p>
    <w:p w14:paraId="78AB614A" w14:textId="77777777" w:rsidR="002B0869" w:rsidRPr="00DF55A1" w:rsidRDefault="002B0869" w:rsidP="002B0869">
      <w:pPr>
        <w:spacing w:before="0" w:after="0"/>
        <w:rPr>
          <w:rFonts w:eastAsia="Calibri" w:cs="Times New Roman"/>
          <w:b/>
          <w:sz w:val="22"/>
          <w:szCs w:val="22"/>
        </w:rPr>
      </w:pPr>
    </w:p>
    <w:p w14:paraId="61C03F1A"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La valuación de los activos, así como su vida útil y su valor residual, se realiza conforme a lo establecido en las normas emitidas y publicadas por el Consejo Nacional de Armonización Contable.</w:t>
      </w:r>
    </w:p>
    <w:p w14:paraId="2741C5F4" w14:textId="77777777" w:rsidR="002B0869" w:rsidRPr="00DF55A1" w:rsidRDefault="002B0869" w:rsidP="002B0869">
      <w:pPr>
        <w:spacing w:before="0" w:after="0"/>
        <w:rPr>
          <w:rFonts w:eastAsia="Calibri" w:cs="Times New Roman"/>
          <w:bCs/>
          <w:sz w:val="22"/>
          <w:szCs w:val="22"/>
        </w:rPr>
      </w:pPr>
    </w:p>
    <w:p w14:paraId="2153DEA2" w14:textId="77777777" w:rsidR="002B0869" w:rsidRDefault="002B0869" w:rsidP="002B0869">
      <w:pPr>
        <w:spacing w:before="0" w:after="0"/>
        <w:rPr>
          <w:rFonts w:eastAsia="Calibri" w:cs="Times New Roman"/>
          <w:b/>
          <w:sz w:val="22"/>
          <w:szCs w:val="22"/>
        </w:rPr>
      </w:pPr>
      <w:r w:rsidRPr="00DF55A1">
        <w:rPr>
          <w:rFonts w:eastAsia="Calibri" w:cs="Times New Roman"/>
          <w:b/>
          <w:sz w:val="22"/>
          <w:szCs w:val="22"/>
        </w:rPr>
        <w:t>c) Importe de los gastos capitalizados en el ejercicio, tanto financieros con de investigación y desarrollo.</w:t>
      </w:r>
    </w:p>
    <w:p w14:paraId="2990C126" w14:textId="77777777" w:rsidR="002B0869" w:rsidRPr="00DF55A1" w:rsidRDefault="002B0869" w:rsidP="002B0869">
      <w:pPr>
        <w:spacing w:before="0" w:after="0"/>
        <w:rPr>
          <w:rFonts w:eastAsia="Calibri" w:cs="Times New Roman"/>
          <w:b/>
          <w:sz w:val="22"/>
          <w:szCs w:val="22"/>
        </w:rPr>
      </w:pPr>
    </w:p>
    <w:p w14:paraId="314E8F8B"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Durante el periodo del presente informe no se ha realizado capitalización de gastos.</w:t>
      </w:r>
    </w:p>
    <w:p w14:paraId="2DE59EF0" w14:textId="77777777" w:rsidR="002B0869" w:rsidRPr="00DF55A1" w:rsidRDefault="002B0869" w:rsidP="002B0869">
      <w:pPr>
        <w:spacing w:before="0" w:after="0"/>
        <w:rPr>
          <w:rFonts w:eastAsia="Calibri" w:cs="Times New Roman"/>
          <w:b/>
          <w:sz w:val="22"/>
          <w:szCs w:val="22"/>
        </w:rPr>
      </w:pPr>
    </w:p>
    <w:p w14:paraId="5D0F360D"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t>d) Riesgos por tipo de cambio o tipo de interés de las inversiones financieras.</w:t>
      </w:r>
    </w:p>
    <w:p w14:paraId="2B997AE6" w14:textId="77777777" w:rsidR="002B0869" w:rsidRPr="00DF55A1" w:rsidRDefault="002B0869" w:rsidP="002B0869">
      <w:pPr>
        <w:spacing w:before="0" w:after="0"/>
        <w:rPr>
          <w:rFonts w:eastAsia="Calibri" w:cs="Times New Roman"/>
          <w:b/>
          <w:sz w:val="22"/>
          <w:szCs w:val="22"/>
        </w:rPr>
      </w:pPr>
    </w:p>
    <w:p w14:paraId="3A0C8BCB"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El Gobierno del Estado de Michoacán no realiza inversiones en moneda extranjera ni consideradas de riesgo.</w:t>
      </w:r>
    </w:p>
    <w:p w14:paraId="0E5BB41B" w14:textId="77777777" w:rsidR="002B0869" w:rsidRPr="00DF55A1" w:rsidRDefault="002B0869" w:rsidP="002B0869">
      <w:pPr>
        <w:spacing w:before="0" w:after="0"/>
        <w:rPr>
          <w:rFonts w:eastAsia="Calibri" w:cs="Times New Roman"/>
          <w:bCs/>
          <w:sz w:val="22"/>
          <w:szCs w:val="22"/>
        </w:rPr>
      </w:pPr>
    </w:p>
    <w:p w14:paraId="6F191C9D"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t>e) Valor activado en el ejercicio de los bienes construidos por la entidad.</w:t>
      </w:r>
    </w:p>
    <w:p w14:paraId="316BA4B4" w14:textId="77777777" w:rsidR="002B0869" w:rsidRPr="00DF55A1" w:rsidRDefault="002B0869" w:rsidP="002B0869">
      <w:pPr>
        <w:spacing w:before="0" w:after="0"/>
        <w:rPr>
          <w:rFonts w:eastAsia="Calibri" w:cs="Times New Roman"/>
          <w:b/>
          <w:sz w:val="22"/>
          <w:szCs w:val="22"/>
        </w:rPr>
      </w:pPr>
    </w:p>
    <w:p w14:paraId="00E1F1DB" w14:textId="5A6BC4F9"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77080658"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lastRenderedPageBreak/>
        <w:t>f) Otras circunstancias de carácter significativo que afecten el activo.</w:t>
      </w:r>
    </w:p>
    <w:p w14:paraId="09E8491F" w14:textId="77777777" w:rsidR="002B0869" w:rsidRPr="00DF55A1" w:rsidRDefault="002B0869" w:rsidP="002B0869">
      <w:pPr>
        <w:spacing w:before="0" w:after="0"/>
        <w:rPr>
          <w:rFonts w:eastAsia="Calibri" w:cs="Times New Roman"/>
          <w:b/>
          <w:sz w:val="22"/>
          <w:szCs w:val="22"/>
        </w:rPr>
      </w:pPr>
    </w:p>
    <w:p w14:paraId="2F49DF89"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40116A3A" w14:textId="77777777" w:rsidR="002B0869" w:rsidRPr="00DF55A1" w:rsidRDefault="002B0869" w:rsidP="002B0869">
      <w:pPr>
        <w:spacing w:before="0" w:after="0"/>
        <w:rPr>
          <w:rFonts w:eastAsia="Calibri" w:cs="Times New Roman"/>
          <w:b/>
          <w:sz w:val="22"/>
          <w:szCs w:val="22"/>
        </w:rPr>
      </w:pPr>
    </w:p>
    <w:p w14:paraId="77251CA4"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t xml:space="preserve">g) Desmantelamiento de Activos. </w:t>
      </w:r>
    </w:p>
    <w:p w14:paraId="65C8BD28" w14:textId="77777777" w:rsidR="002B0869" w:rsidRPr="00DF55A1" w:rsidRDefault="002B0869" w:rsidP="002B0869">
      <w:pPr>
        <w:spacing w:before="0" w:after="0"/>
        <w:rPr>
          <w:rFonts w:eastAsia="Calibri" w:cs="Times New Roman"/>
          <w:b/>
          <w:sz w:val="22"/>
          <w:szCs w:val="22"/>
        </w:rPr>
      </w:pPr>
    </w:p>
    <w:p w14:paraId="610D91DA"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60A14EBB" w14:textId="77777777" w:rsidR="002B0869" w:rsidRPr="00DF55A1" w:rsidRDefault="002B0869" w:rsidP="002B0869">
      <w:pPr>
        <w:spacing w:before="0" w:after="0"/>
        <w:rPr>
          <w:rFonts w:eastAsia="Calibri" w:cs="Times New Roman"/>
          <w:b/>
          <w:sz w:val="22"/>
          <w:szCs w:val="22"/>
        </w:rPr>
      </w:pPr>
    </w:p>
    <w:p w14:paraId="27564369" w14:textId="77777777" w:rsidR="002B0869" w:rsidRPr="00DF55A1" w:rsidRDefault="002B0869" w:rsidP="002B0869">
      <w:pPr>
        <w:spacing w:before="0" w:after="0"/>
        <w:rPr>
          <w:rFonts w:eastAsia="Calibri" w:cs="Times New Roman"/>
          <w:b/>
          <w:sz w:val="22"/>
          <w:szCs w:val="22"/>
        </w:rPr>
      </w:pPr>
      <w:r w:rsidRPr="00DF55A1">
        <w:rPr>
          <w:rFonts w:eastAsia="Calibri" w:cs="Times New Roman"/>
          <w:b/>
          <w:sz w:val="22"/>
          <w:szCs w:val="22"/>
        </w:rPr>
        <w:t>h) Administración de activos.</w:t>
      </w:r>
    </w:p>
    <w:p w14:paraId="3364E711" w14:textId="77777777" w:rsidR="002B0869" w:rsidRPr="00DF55A1" w:rsidRDefault="002B0869" w:rsidP="002B0869">
      <w:pPr>
        <w:spacing w:before="0" w:after="0"/>
        <w:rPr>
          <w:rFonts w:eastAsia="Calibri" w:cs="Times New Roman"/>
          <w:b/>
          <w:sz w:val="22"/>
          <w:szCs w:val="22"/>
        </w:rPr>
      </w:pPr>
    </w:p>
    <w:p w14:paraId="41013B70" w14:textId="77777777" w:rsidR="002B0869" w:rsidRPr="00DF55A1" w:rsidRDefault="002B0869" w:rsidP="002B0869">
      <w:pPr>
        <w:spacing w:before="0" w:after="0"/>
        <w:rPr>
          <w:rFonts w:eastAsia="Calibri" w:cs="Times New Roman"/>
          <w:bCs/>
          <w:sz w:val="22"/>
          <w:szCs w:val="22"/>
        </w:rPr>
      </w:pPr>
      <w:r w:rsidRPr="00DF55A1">
        <w:rPr>
          <w:rFonts w:eastAsia="Calibri" w:cs="Times New Roman"/>
          <w:bCs/>
          <w:sz w:val="22"/>
          <w:szCs w:val="22"/>
        </w:rPr>
        <w:t>No existen datos que informar en este rubro, en el periodo que se informa.</w:t>
      </w:r>
    </w:p>
    <w:p w14:paraId="6751FD5E" w14:textId="77777777" w:rsidR="002B0869" w:rsidRPr="00DF55A1" w:rsidRDefault="002B0869" w:rsidP="002B0869">
      <w:pPr>
        <w:spacing w:before="0" w:after="0"/>
        <w:rPr>
          <w:rFonts w:eastAsia="Calibri" w:cs="Times New Roman"/>
          <w:bCs/>
          <w:sz w:val="22"/>
          <w:szCs w:val="22"/>
        </w:rPr>
      </w:pPr>
    </w:p>
    <w:p w14:paraId="4F71FC81" w14:textId="77777777" w:rsidR="002B0869" w:rsidRPr="00DF55A1" w:rsidRDefault="002B0869" w:rsidP="002B0869">
      <w:pPr>
        <w:spacing w:before="0" w:after="0"/>
        <w:ind w:firstLine="708"/>
        <w:rPr>
          <w:rFonts w:eastAsia="Calibri" w:cs="Times New Roman"/>
          <w:bCs/>
          <w:sz w:val="22"/>
          <w:szCs w:val="22"/>
        </w:rPr>
      </w:pPr>
      <w:r w:rsidRPr="00DF55A1">
        <w:rPr>
          <w:rFonts w:eastAsia="Calibri" w:cs="Times New Roman"/>
          <w:sz w:val="22"/>
          <w:szCs w:val="22"/>
        </w:rPr>
        <w:t>a)</w:t>
      </w:r>
      <w:r w:rsidRPr="00DF55A1">
        <w:rPr>
          <w:rFonts w:eastAsia="Calibri" w:cs="Times New Roman"/>
          <w:b/>
          <w:sz w:val="22"/>
          <w:szCs w:val="22"/>
        </w:rPr>
        <w:t xml:space="preserve"> </w:t>
      </w:r>
      <w:r w:rsidRPr="00DF55A1">
        <w:rPr>
          <w:rFonts w:eastAsia="Calibri" w:cs="Times New Roman"/>
          <w:bCs/>
          <w:sz w:val="22"/>
          <w:szCs w:val="22"/>
        </w:rPr>
        <w:t>Inversiones en valores.</w:t>
      </w:r>
    </w:p>
    <w:p w14:paraId="62F0B648" w14:textId="77777777" w:rsidR="002B0869" w:rsidRPr="00DF55A1" w:rsidRDefault="002B0869" w:rsidP="002B0869">
      <w:pPr>
        <w:spacing w:before="0" w:after="0"/>
        <w:ind w:firstLine="708"/>
        <w:rPr>
          <w:rFonts w:eastAsia="Calibri" w:cs="Times New Roman"/>
          <w:bCs/>
          <w:sz w:val="22"/>
          <w:szCs w:val="22"/>
        </w:rPr>
      </w:pPr>
      <w:r w:rsidRPr="00DF55A1">
        <w:rPr>
          <w:rFonts w:eastAsia="Calibri" w:cs="Times New Roman"/>
          <w:bCs/>
          <w:sz w:val="22"/>
          <w:szCs w:val="22"/>
        </w:rPr>
        <w:t>No se realizaron inversiones en valores durante el período reportado.</w:t>
      </w:r>
    </w:p>
    <w:p w14:paraId="478DC4B1" w14:textId="77777777" w:rsidR="002B0869" w:rsidRDefault="002B0869" w:rsidP="002B0869">
      <w:pPr>
        <w:spacing w:before="0" w:after="0"/>
        <w:ind w:left="708"/>
        <w:rPr>
          <w:rFonts w:eastAsia="Calibri" w:cs="Times New Roman"/>
          <w:bCs/>
          <w:sz w:val="22"/>
          <w:szCs w:val="22"/>
        </w:rPr>
      </w:pPr>
    </w:p>
    <w:p w14:paraId="24BFA0A8" w14:textId="77777777" w:rsidR="002B0869" w:rsidRPr="00DF55A1" w:rsidRDefault="002B0869" w:rsidP="002B0869">
      <w:pPr>
        <w:spacing w:before="0" w:after="0"/>
        <w:ind w:left="708"/>
        <w:rPr>
          <w:rFonts w:eastAsia="Calibri" w:cs="Times New Roman"/>
          <w:bCs/>
          <w:sz w:val="22"/>
          <w:szCs w:val="22"/>
        </w:rPr>
      </w:pPr>
      <w:r w:rsidRPr="00DF55A1">
        <w:rPr>
          <w:rFonts w:eastAsia="Calibri" w:cs="Times New Roman"/>
          <w:bCs/>
          <w:sz w:val="22"/>
          <w:szCs w:val="22"/>
        </w:rPr>
        <w:t>b) Patrimonio de Organismos Descentralizados de Control Presupuestario Indirecto.</w:t>
      </w:r>
    </w:p>
    <w:p w14:paraId="66830527" w14:textId="77777777" w:rsidR="002B0869" w:rsidRPr="00DF55A1" w:rsidRDefault="002B0869" w:rsidP="002B0869">
      <w:pPr>
        <w:spacing w:before="0" w:after="0"/>
        <w:ind w:left="708"/>
        <w:rPr>
          <w:rFonts w:eastAsia="Calibri" w:cs="Times New Roman"/>
          <w:bCs/>
          <w:sz w:val="22"/>
          <w:szCs w:val="22"/>
        </w:rPr>
      </w:pPr>
    </w:p>
    <w:p w14:paraId="4B6984E1" w14:textId="77777777" w:rsidR="002B0869" w:rsidRPr="00DF55A1" w:rsidRDefault="002B0869" w:rsidP="002B0869">
      <w:pPr>
        <w:spacing w:before="0" w:after="0"/>
        <w:ind w:left="708"/>
        <w:rPr>
          <w:rFonts w:eastAsia="Calibri" w:cs="Times New Roman"/>
          <w:bCs/>
          <w:sz w:val="22"/>
          <w:szCs w:val="22"/>
        </w:rPr>
      </w:pPr>
      <w:r w:rsidRPr="00DF55A1">
        <w:rPr>
          <w:rFonts w:eastAsia="Calibri" w:cs="Times New Roman"/>
          <w:bCs/>
          <w:sz w:val="22"/>
          <w:szCs w:val="22"/>
        </w:rPr>
        <w:t>La Secretaría de Finanzas y Administración no cuenta con información que revelar en el periodo que se informa.</w:t>
      </w:r>
    </w:p>
    <w:p w14:paraId="2A1B922B" w14:textId="77777777" w:rsidR="002B0869" w:rsidRPr="00DF55A1" w:rsidRDefault="002B0869" w:rsidP="002B0869">
      <w:pPr>
        <w:spacing w:before="0" w:after="0"/>
        <w:ind w:firstLine="708"/>
        <w:rPr>
          <w:rFonts w:eastAsia="Calibri" w:cs="Times New Roman"/>
          <w:bCs/>
          <w:sz w:val="22"/>
          <w:szCs w:val="22"/>
        </w:rPr>
      </w:pPr>
    </w:p>
    <w:p w14:paraId="7EC33AB5" w14:textId="77777777" w:rsidR="002B0869" w:rsidRPr="00DF55A1" w:rsidRDefault="002B0869" w:rsidP="002B0869">
      <w:pPr>
        <w:spacing w:before="0" w:after="0"/>
        <w:ind w:firstLine="708"/>
        <w:rPr>
          <w:rFonts w:eastAsia="Calibri" w:cs="Times New Roman"/>
          <w:bCs/>
          <w:sz w:val="22"/>
          <w:szCs w:val="22"/>
        </w:rPr>
      </w:pPr>
      <w:r w:rsidRPr="00DF55A1">
        <w:rPr>
          <w:rFonts w:eastAsia="Calibri" w:cs="Times New Roman"/>
          <w:bCs/>
          <w:sz w:val="22"/>
          <w:szCs w:val="22"/>
        </w:rPr>
        <w:t>c) Inversiones en empresas de participación mayoritaria.</w:t>
      </w:r>
    </w:p>
    <w:p w14:paraId="22B02FB6" w14:textId="77777777" w:rsidR="002B0869" w:rsidRPr="00DF55A1" w:rsidRDefault="002B0869" w:rsidP="002B0869">
      <w:pPr>
        <w:spacing w:before="0" w:after="0"/>
        <w:ind w:firstLine="708"/>
        <w:rPr>
          <w:rFonts w:eastAsia="Calibri" w:cs="Times New Roman"/>
          <w:bCs/>
          <w:sz w:val="22"/>
          <w:szCs w:val="22"/>
        </w:rPr>
      </w:pPr>
    </w:p>
    <w:p w14:paraId="5C2319A1" w14:textId="77777777" w:rsidR="002B0869" w:rsidRPr="00DF55A1" w:rsidRDefault="002B0869" w:rsidP="002B0869">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499B1E63" w14:textId="77777777" w:rsidR="002B0869" w:rsidRPr="00DF55A1" w:rsidRDefault="002B0869" w:rsidP="002B0869">
      <w:pPr>
        <w:spacing w:before="0" w:after="0"/>
        <w:ind w:firstLine="708"/>
        <w:rPr>
          <w:rFonts w:eastAsia="Calibri" w:cs="Times New Roman"/>
          <w:bCs/>
          <w:sz w:val="22"/>
          <w:szCs w:val="22"/>
        </w:rPr>
      </w:pPr>
    </w:p>
    <w:p w14:paraId="5EE9A131" w14:textId="77777777" w:rsidR="002B0869" w:rsidRPr="00DF55A1" w:rsidRDefault="002B0869" w:rsidP="002B0869">
      <w:pPr>
        <w:spacing w:before="0" w:after="0"/>
        <w:ind w:firstLine="708"/>
        <w:rPr>
          <w:rFonts w:eastAsia="Calibri" w:cs="Times New Roman"/>
          <w:bCs/>
          <w:sz w:val="22"/>
          <w:szCs w:val="22"/>
        </w:rPr>
      </w:pPr>
      <w:r w:rsidRPr="00DF55A1">
        <w:rPr>
          <w:rFonts w:eastAsia="Calibri" w:cs="Times New Roman"/>
          <w:bCs/>
          <w:sz w:val="22"/>
          <w:szCs w:val="22"/>
        </w:rPr>
        <w:t>d) Inversiones en empresas de participación minoritaria.</w:t>
      </w:r>
    </w:p>
    <w:p w14:paraId="43D9BDDA" w14:textId="77777777" w:rsidR="002B0869" w:rsidRPr="00DF55A1" w:rsidRDefault="002B0869" w:rsidP="002B0869">
      <w:pPr>
        <w:spacing w:before="0" w:after="0"/>
        <w:ind w:firstLine="708"/>
        <w:rPr>
          <w:rFonts w:eastAsia="Calibri" w:cs="Times New Roman"/>
          <w:bCs/>
          <w:sz w:val="22"/>
          <w:szCs w:val="22"/>
        </w:rPr>
      </w:pPr>
    </w:p>
    <w:p w14:paraId="13552100" w14:textId="77777777" w:rsidR="002B0869" w:rsidRPr="00DF55A1" w:rsidRDefault="002B0869" w:rsidP="002B0869">
      <w:pPr>
        <w:spacing w:before="0" w:after="0"/>
        <w:ind w:firstLine="708"/>
        <w:rPr>
          <w:rFonts w:eastAsia="Calibri" w:cs="Times New Roman"/>
          <w:bCs/>
          <w:sz w:val="22"/>
          <w:szCs w:val="22"/>
        </w:rPr>
      </w:pPr>
      <w:r w:rsidRPr="00DF55A1">
        <w:rPr>
          <w:rFonts w:eastAsia="Calibri" w:cs="Times New Roman"/>
          <w:bCs/>
          <w:sz w:val="22"/>
          <w:szCs w:val="22"/>
        </w:rPr>
        <w:t>Sin información que revelar.</w:t>
      </w:r>
    </w:p>
    <w:p w14:paraId="43DFB772" w14:textId="77777777" w:rsidR="002B0869" w:rsidRPr="00DF55A1" w:rsidRDefault="002B0869" w:rsidP="002B0869">
      <w:pPr>
        <w:spacing w:before="0" w:after="0"/>
        <w:ind w:left="708"/>
        <w:rPr>
          <w:rFonts w:eastAsia="Calibri" w:cs="Times New Roman"/>
          <w:bCs/>
          <w:sz w:val="22"/>
          <w:szCs w:val="22"/>
        </w:rPr>
      </w:pPr>
    </w:p>
    <w:p w14:paraId="788D5DF6" w14:textId="77777777" w:rsidR="002B0869" w:rsidRPr="00DF55A1" w:rsidRDefault="002B0869" w:rsidP="002B0869">
      <w:pPr>
        <w:spacing w:before="0" w:after="0"/>
        <w:ind w:left="708"/>
        <w:rPr>
          <w:rFonts w:eastAsia="Calibri" w:cs="Times New Roman"/>
          <w:bCs/>
          <w:sz w:val="22"/>
          <w:szCs w:val="22"/>
        </w:rPr>
      </w:pPr>
      <w:r w:rsidRPr="00DF55A1">
        <w:rPr>
          <w:rFonts w:eastAsia="Calibri" w:cs="Times New Roman"/>
          <w:bCs/>
          <w:sz w:val="22"/>
          <w:szCs w:val="22"/>
        </w:rPr>
        <w:lastRenderedPageBreak/>
        <w:t xml:space="preserve">e) Patrimonio de Organismos Descentralizados de Control Presupuestario Directo, según corresponda. </w:t>
      </w:r>
    </w:p>
    <w:p w14:paraId="625AA67E" w14:textId="77777777" w:rsidR="002B0869" w:rsidRPr="00DF55A1" w:rsidRDefault="002B0869" w:rsidP="002B0869">
      <w:pPr>
        <w:spacing w:before="0" w:after="0"/>
        <w:ind w:left="708"/>
        <w:rPr>
          <w:rFonts w:eastAsia="Calibri" w:cs="Times New Roman"/>
          <w:bCs/>
          <w:sz w:val="22"/>
          <w:szCs w:val="22"/>
        </w:rPr>
      </w:pPr>
    </w:p>
    <w:p w14:paraId="4AB220FD" w14:textId="77777777" w:rsidR="002B0869" w:rsidRDefault="002B0869" w:rsidP="002B0869">
      <w:pPr>
        <w:spacing w:before="0" w:after="0"/>
        <w:ind w:left="708"/>
        <w:rPr>
          <w:rFonts w:eastAsia="Calibri" w:cs="Times New Roman"/>
          <w:bCs/>
          <w:sz w:val="22"/>
          <w:szCs w:val="22"/>
        </w:rPr>
      </w:pPr>
      <w:r w:rsidRPr="00DF55A1">
        <w:rPr>
          <w:rFonts w:eastAsia="Calibri" w:cs="Times New Roman"/>
          <w:bCs/>
          <w:sz w:val="22"/>
          <w:szCs w:val="22"/>
        </w:rPr>
        <w:t xml:space="preserve">La Secretaría de Finanzas y Administración no tiene información que revelar en el período. </w:t>
      </w:r>
    </w:p>
    <w:p w14:paraId="2EA8755C" w14:textId="77777777" w:rsidR="002B0869" w:rsidRDefault="002B0869" w:rsidP="002B0869"/>
    <w:p w14:paraId="0FAB1009" w14:textId="77777777" w:rsidR="002B0869" w:rsidRPr="00657726" w:rsidRDefault="002B0869" w:rsidP="002B0869"/>
    <w:p w14:paraId="3092D2EE" w14:textId="77777777" w:rsidR="002B0869" w:rsidRPr="004F06F2" w:rsidRDefault="002B0869" w:rsidP="002B0869">
      <w:pPr>
        <w:spacing w:before="0" w:after="0"/>
        <w:rPr>
          <w:rFonts w:eastAsia="Calibri" w:cs="Times New Roman"/>
          <w:b/>
          <w:sz w:val="22"/>
          <w:szCs w:val="22"/>
        </w:rPr>
      </w:pPr>
      <w:r w:rsidRPr="0078545F">
        <w:rPr>
          <w:rFonts w:eastAsia="Calibri" w:cs="Times New Roman"/>
          <w:b/>
          <w:sz w:val="22"/>
          <w:szCs w:val="22"/>
        </w:rPr>
        <w:t>8. Fideicomisos, Mandatos y Análogos.</w:t>
      </w:r>
    </w:p>
    <w:p w14:paraId="0BB2CE01"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El gobierno del Estado de Michoacán cuenta con Fideicomisos sectorizados a sus diferentes Dependencias, los cuales se muestran a continuación:</w:t>
      </w:r>
    </w:p>
    <w:p w14:paraId="6595B229" w14:textId="77777777" w:rsidR="002B0869" w:rsidRPr="004F06F2" w:rsidRDefault="002B0869" w:rsidP="002B0869">
      <w:pPr>
        <w:spacing w:before="0" w:after="0"/>
        <w:rPr>
          <w:rFonts w:eastAsia="Calibri" w:cs="Times New Roman"/>
          <w:bCs/>
          <w:sz w:val="22"/>
          <w:szCs w:val="22"/>
        </w:rPr>
      </w:pPr>
    </w:p>
    <w:p w14:paraId="3AE0B8C5" w14:textId="77777777" w:rsidR="002B0869" w:rsidRDefault="002B0869" w:rsidP="002B0869">
      <w:pPr>
        <w:spacing w:before="0" w:after="0"/>
        <w:rPr>
          <w:rFonts w:eastAsia="Calibri" w:cs="Times New Roman"/>
          <w:b/>
          <w:bCs/>
          <w:sz w:val="22"/>
          <w:szCs w:val="22"/>
        </w:rPr>
      </w:pPr>
      <w:r w:rsidRPr="0078545F">
        <w:rPr>
          <w:rFonts w:eastAsia="Calibri" w:cs="Times New Roman"/>
          <w:b/>
          <w:bCs/>
          <w:sz w:val="22"/>
          <w:szCs w:val="22"/>
        </w:rPr>
        <w:t>a) Por ramo administrativo que los reporta.</w:t>
      </w:r>
    </w:p>
    <w:p w14:paraId="5A1D2A4B" w14:textId="77777777" w:rsidR="002B0869" w:rsidRPr="004F06F2" w:rsidRDefault="002B0869" w:rsidP="002B0869">
      <w:pPr>
        <w:spacing w:before="0" w:after="0"/>
        <w:rPr>
          <w:rFonts w:eastAsia="Calibri" w:cs="Times New Roman"/>
          <w:b/>
          <w:bCs/>
          <w:sz w:val="22"/>
          <w:szCs w:val="22"/>
        </w:rPr>
      </w:pPr>
      <w:r w:rsidRPr="00953B6F">
        <w:rPr>
          <w:noProof/>
          <w:lang w:val="es-MX" w:eastAsia="es-MX"/>
        </w:rPr>
        <w:lastRenderedPageBreak/>
        <w:drawing>
          <wp:inline distT="0" distB="0" distL="0" distR="0" wp14:anchorId="5B0E788B" wp14:editId="55336534">
            <wp:extent cx="5611793" cy="8298611"/>
            <wp:effectExtent l="0" t="0" r="8255"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317" cy="8302344"/>
                    </a:xfrm>
                    <a:prstGeom prst="rect">
                      <a:avLst/>
                    </a:prstGeom>
                    <a:noFill/>
                    <a:ln>
                      <a:noFill/>
                    </a:ln>
                  </pic:spPr>
                </pic:pic>
              </a:graphicData>
            </a:graphic>
          </wp:inline>
        </w:drawing>
      </w:r>
    </w:p>
    <w:p w14:paraId="2BEC5916" w14:textId="77777777" w:rsidR="002B0869" w:rsidRPr="004F06F2" w:rsidRDefault="002B0869" w:rsidP="002B0869">
      <w:pPr>
        <w:spacing w:before="0" w:after="0"/>
        <w:rPr>
          <w:rFonts w:eastAsia="Calibri" w:cs="Times New Roman"/>
          <w:b/>
          <w:bCs/>
          <w:sz w:val="22"/>
          <w:szCs w:val="22"/>
        </w:rPr>
      </w:pPr>
      <w:r w:rsidRPr="00953B6F">
        <w:rPr>
          <w:noProof/>
          <w:lang w:val="es-MX" w:eastAsia="es-MX"/>
        </w:rPr>
        <w:lastRenderedPageBreak/>
        <w:drawing>
          <wp:inline distT="0" distB="0" distL="0" distR="0" wp14:anchorId="2FBE6DA2" wp14:editId="3780AF5A">
            <wp:extent cx="5612130" cy="8298611"/>
            <wp:effectExtent l="0" t="0" r="7620" b="762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332" cy="8301867"/>
                    </a:xfrm>
                    <a:prstGeom prst="rect">
                      <a:avLst/>
                    </a:prstGeom>
                    <a:noFill/>
                    <a:ln>
                      <a:noFill/>
                    </a:ln>
                  </pic:spPr>
                </pic:pic>
              </a:graphicData>
            </a:graphic>
          </wp:inline>
        </w:drawing>
      </w:r>
    </w:p>
    <w:p w14:paraId="252272AA" w14:textId="77777777" w:rsidR="002B0869" w:rsidRPr="004F06F2" w:rsidRDefault="002B0869" w:rsidP="002B0869">
      <w:pPr>
        <w:spacing w:before="0" w:after="0"/>
        <w:rPr>
          <w:rFonts w:eastAsia="Calibri" w:cs="Times New Roman"/>
          <w:b/>
          <w:bCs/>
          <w:sz w:val="22"/>
          <w:szCs w:val="22"/>
        </w:rPr>
      </w:pPr>
      <w:r w:rsidRPr="00953B6F">
        <w:rPr>
          <w:noProof/>
          <w:lang w:val="es-MX" w:eastAsia="es-MX"/>
        </w:rPr>
        <w:lastRenderedPageBreak/>
        <w:drawing>
          <wp:inline distT="0" distB="0" distL="0" distR="0" wp14:anchorId="5ED3DED1" wp14:editId="0117F0F0">
            <wp:extent cx="5611825" cy="8289985"/>
            <wp:effectExtent l="0" t="0" r="825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230" cy="8296493"/>
                    </a:xfrm>
                    <a:prstGeom prst="rect">
                      <a:avLst/>
                    </a:prstGeom>
                    <a:noFill/>
                    <a:ln>
                      <a:noFill/>
                    </a:ln>
                  </pic:spPr>
                </pic:pic>
              </a:graphicData>
            </a:graphic>
          </wp:inline>
        </w:drawing>
      </w:r>
    </w:p>
    <w:p w14:paraId="3595BD26" w14:textId="77777777" w:rsidR="002B0869" w:rsidRDefault="002B0869" w:rsidP="002B0869">
      <w:pPr>
        <w:spacing w:before="0" w:after="0"/>
        <w:rPr>
          <w:rFonts w:eastAsia="Calibri" w:cs="Times New Roman"/>
          <w:b/>
          <w:bCs/>
          <w:sz w:val="22"/>
          <w:szCs w:val="22"/>
        </w:rPr>
      </w:pPr>
      <w:r w:rsidRPr="00953B6F">
        <w:rPr>
          <w:noProof/>
          <w:lang w:val="es-MX" w:eastAsia="es-MX"/>
        </w:rPr>
        <w:lastRenderedPageBreak/>
        <w:drawing>
          <wp:inline distT="0" distB="0" distL="0" distR="0" wp14:anchorId="0E82E814" wp14:editId="4F0E0648">
            <wp:extent cx="5612130" cy="6569199"/>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569199"/>
                    </a:xfrm>
                    <a:prstGeom prst="rect">
                      <a:avLst/>
                    </a:prstGeom>
                    <a:noFill/>
                    <a:ln>
                      <a:noFill/>
                    </a:ln>
                  </pic:spPr>
                </pic:pic>
              </a:graphicData>
            </a:graphic>
          </wp:inline>
        </w:drawing>
      </w:r>
    </w:p>
    <w:p w14:paraId="4C862908" w14:textId="77777777" w:rsidR="002B0869" w:rsidRDefault="002B0869" w:rsidP="002B0869">
      <w:pPr>
        <w:spacing w:before="0" w:after="0"/>
        <w:rPr>
          <w:rFonts w:eastAsia="Calibri" w:cs="Times New Roman"/>
          <w:b/>
          <w:bCs/>
          <w:sz w:val="22"/>
          <w:szCs w:val="22"/>
        </w:rPr>
      </w:pPr>
    </w:p>
    <w:p w14:paraId="51E0E3A8" w14:textId="77777777" w:rsidR="002B0869" w:rsidRDefault="002B0869" w:rsidP="002B0869">
      <w:pPr>
        <w:spacing w:before="0" w:after="0"/>
        <w:rPr>
          <w:rFonts w:eastAsia="Calibri" w:cs="Times New Roman"/>
          <w:b/>
          <w:bCs/>
          <w:sz w:val="22"/>
          <w:szCs w:val="22"/>
        </w:rPr>
      </w:pPr>
    </w:p>
    <w:p w14:paraId="3B8A965F" w14:textId="77777777" w:rsidR="002B0869" w:rsidRPr="00953B6F" w:rsidRDefault="002B0869" w:rsidP="002B0869">
      <w:pPr>
        <w:spacing w:before="0" w:after="0"/>
        <w:rPr>
          <w:b/>
          <w:noProof/>
          <w:lang w:val="es-MX" w:eastAsia="es-MX"/>
        </w:rPr>
      </w:pPr>
      <w:r w:rsidRPr="00953B6F">
        <w:rPr>
          <w:rFonts w:eastAsia="Calibri" w:cs="Times New Roman"/>
          <w:b/>
          <w:bCs/>
          <w:sz w:val="22"/>
          <w:szCs w:val="22"/>
        </w:rPr>
        <w:t>b) Enlistar los de mayor monto de disponibilidad, relacionando aquéllos que conforman al menos el 80% de las disponibilidades.</w:t>
      </w:r>
    </w:p>
    <w:p w14:paraId="4EB79B65" w14:textId="77777777" w:rsidR="002B0869" w:rsidRDefault="002B0869" w:rsidP="002B0869">
      <w:pPr>
        <w:spacing w:before="0" w:after="0"/>
        <w:rPr>
          <w:rFonts w:eastAsia="Calibri" w:cs="Times New Roman"/>
          <w:bCs/>
          <w:sz w:val="22"/>
          <w:szCs w:val="22"/>
        </w:rPr>
      </w:pPr>
      <w:r w:rsidRPr="00953B6F">
        <w:rPr>
          <w:noProof/>
          <w:lang w:val="es-MX" w:eastAsia="es-MX"/>
        </w:rPr>
        <w:lastRenderedPageBreak/>
        <w:drawing>
          <wp:inline distT="0" distB="0" distL="0" distR="0" wp14:anchorId="6813D447" wp14:editId="5BC3A153">
            <wp:extent cx="5612130" cy="8298838"/>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8298838"/>
                    </a:xfrm>
                    <a:prstGeom prst="rect">
                      <a:avLst/>
                    </a:prstGeom>
                    <a:noFill/>
                    <a:ln>
                      <a:noFill/>
                    </a:ln>
                  </pic:spPr>
                </pic:pic>
              </a:graphicData>
            </a:graphic>
          </wp:inline>
        </w:drawing>
      </w:r>
    </w:p>
    <w:p w14:paraId="74D14635" w14:textId="77777777" w:rsidR="002B0869" w:rsidRPr="0078545F" w:rsidRDefault="002B0869" w:rsidP="002B0869">
      <w:pPr>
        <w:spacing w:before="0" w:after="0"/>
        <w:rPr>
          <w:rFonts w:eastAsia="Calibri" w:cs="Times New Roman"/>
          <w:bCs/>
          <w:sz w:val="22"/>
          <w:szCs w:val="22"/>
        </w:rPr>
      </w:pPr>
      <w:r w:rsidRPr="00953B6F">
        <w:rPr>
          <w:noProof/>
          <w:lang w:val="es-MX" w:eastAsia="es-MX"/>
        </w:rPr>
        <w:lastRenderedPageBreak/>
        <w:drawing>
          <wp:inline distT="0" distB="0" distL="0" distR="0" wp14:anchorId="7B10DED1" wp14:editId="76B65B9B">
            <wp:extent cx="5591175" cy="82010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4298" cy="8205606"/>
                    </a:xfrm>
                    <a:prstGeom prst="rect">
                      <a:avLst/>
                    </a:prstGeom>
                    <a:noFill/>
                    <a:ln>
                      <a:noFill/>
                    </a:ln>
                  </pic:spPr>
                </pic:pic>
              </a:graphicData>
            </a:graphic>
          </wp:inline>
        </w:drawing>
      </w:r>
    </w:p>
    <w:p w14:paraId="1B7F5B43" w14:textId="77777777" w:rsidR="002B0869" w:rsidRDefault="002B0869" w:rsidP="002B0869">
      <w:pPr>
        <w:spacing w:before="0" w:after="0"/>
        <w:rPr>
          <w:rFonts w:eastAsia="Calibri" w:cs="Times New Roman"/>
          <w:b/>
          <w:sz w:val="22"/>
          <w:szCs w:val="22"/>
        </w:rPr>
      </w:pPr>
      <w:r w:rsidRPr="0011774C">
        <w:rPr>
          <w:rFonts w:eastAsia="Calibri" w:cs="Times New Roman"/>
          <w:b/>
          <w:sz w:val="22"/>
          <w:szCs w:val="22"/>
        </w:rPr>
        <w:lastRenderedPageBreak/>
        <w:t>9. Reporte de la Recaudación</w:t>
      </w:r>
    </w:p>
    <w:p w14:paraId="7FDCE47D" w14:textId="77777777" w:rsidR="002B0869" w:rsidRDefault="002B0869" w:rsidP="002B0869">
      <w:pPr>
        <w:spacing w:before="0" w:after="0"/>
        <w:rPr>
          <w:rFonts w:eastAsia="Calibri" w:cs="Times New Roman"/>
          <w:b/>
          <w:sz w:val="22"/>
          <w:szCs w:val="22"/>
        </w:rPr>
      </w:pPr>
    </w:p>
    <w:p w14:paraId="583696BB" w14:textId="77777777" w:rsidR="002B0869" w:rsidRDefault="002B0869" w:rsidP="002B0869">
      <w:pPr>
        <w:spacing w:before="0" w:after="0"/>
        <w:rPr>
          <w:rFonts w:eastAsia="Calibri" w:cs="Times New Roman"/>
          <w:b/>
          <w:sz w:val="22"/>
          <w:szCs w:val="22"/>
        </w:rPr>
      </w:pPr>
      <w:r>
        <w:rPr>
          <w:rFonts w:eastAsia="Calibri" w:cs="Times New Roman"/>
          <w:b/>
          <w:sz w:val="22"/>
          <w:szCs w:val="22"/>
        </w:rPr>
        <w:t xml:space="preserve">a) </w:t>
      </w:r>
      <w:r w:rsidRPr="00EF4AE7">
        <w:rPr>
          <w:rFonts w:eastAsia="Calibri" w:cs="Times New Roman"/>
          <w:b/>
          <w:sz w:val="22"/>
          <w:szCs w:val="22"/>
        </w:rPr>
        <w:t>Análisis del comportamiento de la recaudación</w:t>
      </w:r>
    </w:p>
    <w:p w14:paraId="41415F92" w14:textId="77777777" w:rsidR="002B0869" w:rsidRPr="00EF4AE7" w:rsidRDefault="002B0869" w:rsidP="002B0869">
      <w:pPr>
        <w:spacing w:before="0" w:after="0"/>
        <w:rPr>
          <w:rFonts w:eastAsia="Calibri"/>
          <w:b/>
          <w:sz w:val="22"/>
          <w:szCs w:val="22"/>
        </w:rPr>
      </w:pPr>
    </w:p>
    <w:p w14:paraId="03FC4380" w14:textId="77777777" w:rsidR="002B0869" w:rsidRPr="00EF4AE7" w:rsidRDefault="002B0869" w:rsidP="002B0869">
      <w:pPr>
        <w:rPr>
          <w:rFonts w:eastAsia="Calibri"/>
          <w:b/>
          <w:sz w:val="22"/>
          <w:szCs w:val="22"/>
        </w:rPr>
      </w:pPr>
      <w:r w:rsidRPr="00EF4AE7">
        <w:rPr>
          <w:rFonts w:eastAsia="Calibri" w:cs="Times New Roman"/>
          <w:b/>
          <w:sz w:val="22"/>
          <w:szCs w:val="22"/>
        </w:rPr>
        <w:t>I.</w:t>
      </w:r>
      <w:r>
        <w:rPr>
          <w:rFonts w:eastAsia="Calibri"/>
          <w:b/>
          <w:sz w:val="22"/>
          <w:szCs w:val="22"/>
        </w:rPr>
        <w:t xml:space="preserve"> </w:t>
      </w:r>
      <w:r w:rsidRPr="00EF4AE7">
        <w:rPr>
          <w:rFonts w:eastAsia="Calibri"/>
          <w:b/>
          <w:sz w:val="22"/>
          <w:szCs w:val="22"/>
        </w:rPr>
        <w:t>Ingresos de Fuentes Locales</w:t>
      </w:r>
    </w:p>
    <w:p w14:paraId="7FB648B5" w14:textId="77777777" w:rsidR="002B0869" w:rsidRPr="00953B6F" w:rsidRDefault="002B0869" w:rsidP="002B0869">
      <w:pPr>
        <w:rPr>
          <w:sz w:val="22"/>
        </w:rPr>
      </w:pPr>
      <w:r w:rsidRPr="00953B6F">
        <w:rPr>
          <w:sz w:val="22"/>
        </w:rPr>
        <w:t>Para 2025, la estimación total de ingresos fue de 98 mil 935 millones, 474 mil 315 pesos; en este ejercicio la proporción de ingresos locales estimados comprende un 8.59 por ciento, impulsado por un esfuerzo en las acciones de fiscalización por adeudos pendientes de impuestos y derechos; mientras que los ingresos federales representaron un 91.41 por ciento.</w:t>
      </w:r>
    </w:p>
    <w:p w14:paraId="0F104556" w14:textId="77777777" w:rsidR="002B0869" w:rsidRPr="00953B6F" w:rsidRDefault="002B0869" w:rsidP="002B0869">
      <w:pPr>
        <w:rPr>
          <w:sz w:val="22"/>
        </w:rPr>
      </w:pPr>
    </w:p>
    <w:p w14:paraId="7E40B833" w14:textId="77777777" w:rsidR="002B0869" w:rsidRPr="00953B6F" w:rsidRDefault="002B0869" w:rsidP="002B0869">
      <w:pPr>
        <w:rPr>
          <w:sz w:val="22"/>
        </w:rPr>
      </w:pPr>
      <w:r w:rsidRPr="00953B6F">
        <w:rPr>
          <w:sz w:val="22"/>
        </w:rPr>
        <w:t xml:space="preserve">En materia de impuestos, el Impuesto Sobre Erogaciones por Remuneración al Trabajo Personal, Prestado Bajo la Dirección y Dependencia de un Patrón representa la mayor fuente recaudatoria con el 91.85 por ciento respecto a los impuestos y un 45 por ciento respecto al total de ingresos propios, cerrando el segundo trimestre en 2,148 millones 164 mil </w:t>
      </w:r>
      <w:r w:rsidRPr="00A41C09">
        <w:rPr>
          <w:sz w:val="22"/>
        </w:rPr>
        <w:t>736 pesos</w:t>
      </w:r>
      <w:r w:rsidRPr="00953B6F">
        <w:rPr>
          <w:sz w:val="22"/>
        </w:rPr>
        <w:t>, lo que representa un avance de 51.18 por ciento respecto al total programado en la Ley de Ingresos; consolidando la recaudación de los contribuyentes del sector privado y la de adeudos pendientes del sector público estatal, con del programa de saneamiento de los adeudos actualizados y vigentes de los municipios y entidades paramunicipales ante el Ejecutivo del Estado, derivado del Artículo Noveno Transitorio de la Ley de Ingresos del Estado de Michoacán de Ocampo, para el Ejercicio Fiscal del Año 2025.</w:t>
      </w:r>
    </w:p>
    <w:p w14:paraId="13E77311" w14:textId="77777777" w:rsidR="002B0869" w:rsidRPr="00953B6F" w:rsidRDefault="002B0869" w:rsidP="002B0869">
      <w:pPr>
        <w:rPr>
          <w:sz w:val="22"/>
        </w:rPr>
      </w:pPr>
    </w:p>
    <w:p w14:paraId="31361471" w14:textId="77777777" w:rsidR="002B0869" w:rsidRPr="00953B6F" w:rsidRDefault="002B0869" w:rsidP="002B0869">
      <w:pPr>
        <w:rPr>
          <w:sz w:val="22"/>
        </w:rPr>
      </w:pPr>
      <w:r w:rsidRPr="00953B6F">
        <w:rPr>
          <w:sz w:val="22"/>
        </w:rPr>
        <w:t xml:space="preserve">La recaudación de Derechos correspondientes a Servicios de Transporte Particular representó el 79.21 por ciento del total de los Derechos por Prestación de Servicios Estatales y un 70.74 por ciento de su meta programada. Se mantuvieron los esquemas para facilitar el pago del refrendo vehicular digital en línea, así como el subsidio del 10 diez por ciento al pago de derechos por concepto de refrendo anual de circulación a partir del primero de enero de </w:t>
      </w:r>
      <w:r w:rsidRPr="00953B6F">
        <w:rPr>
          <w:sz w:val="22"/>
        </w:rPr>
        <w:lastRenderedPageBreak/>
        <w:t xml:space="preserve">2025 y hasta el 31 de enero de 2025, con la finalidad de incentivar el cumplimiento puntual de las contribuciones en materia de derechos por transporte particular. </w:t>
      </w:r>
    </w:p>
    <w:p w14:paraId="02BAEE8C" w14:textId="77777777" w:rsidR="002B0869" w:rsidRPr="00953B6F" w:rsidRDefault="002B0869" w:rsidP="002B0869">
      <w:pPr>
        <w:rPr>
          <w:sz w:val="22"/>
        </w:rPr>
      </w:pPr>
    </w:p>
    <w:p w14:paraId="585E2CE0" w14:textId="77777777" w:rsidR="002B0869" w:rsidRPr="00953B6F" w:rsidRDefault="002B0869" w:rsidP="002B0869">
      <w:pPr>
        <w:rPr>
          <w:sz w:val="22"/>
        </w:rPr>
      </w:pPr>
      <w:r w:rsidRPr="00953B6F">
        <w:rPr>
          <w:sz w:val="22"/>
        </w:rPr>
        <w:t>En materia de Productos se obtuvo un avance del 58 por ciento respecto al total programado para el ejercicio fiscal 2025, cerrando el segundo trimestre en 151 millones, 685 mil, 468 pesos, principalmente por la suma de los rendimientos de capital y valores.</w:t>
      </w:r>
    </w:p>
    <w:p w14:paraId="2FEC7A2D" w14:textId="77777777" w:rsidR="002B0869" w:rsidRPr="00953B6F" w:rsidRDefault="002B0869" w:rsidP="002B0869">
      <w:pPr>
        <w:rPr>
          <w:sz w:val="22"/>
        </w:rPr>
      </w:pPr>
    </w:p>
    <w:p w14:paraId="1E17D0F0" w14:textId="77777777" w:rsidR="002B0869" w:rsidRPr="00953B6F" w:rsidRDefault="002B0869" w:rsidP="002B0869">
      <w:pPr>
        <w:rPr>
          <w:sz w:val="22"/>
        </w:rPr>
      </w:pPr>
      <w:r w:rsidRPr="00953B6F">
        <w:rPr>
          <w:sz w:val="22"/>
        </w:rPr>
        <w:t>Dentro de los Aprovechamientos, se tiene un avance del 4.33 por ciento respecto a lo programado por un total de 30 millones 838 mil 187 pesos.</w:t>
      </w:r>
    </w:p>
    <w:p w14:paraId="12B750B2" w14:textId="77777777" w:rsidR="002B0869" w:rsidRPr="00953B6F" w:rsidRDefault="002B0869" w:rsidP="002B0869">
      <w:pPr>
        <w:rPr>
          <w:sz w:val="22"/>
        </w:rPr>
      </w:pPr>
    </w:p>
    <w:p w14:paraId="1D9F7769" w14:textId="77777777" w:rsidR="002B0869" w:rsidRPr="0089015B" w:rsidRDefault="002B0869" w:rsidP="002B0869">
      <w:pPr>
        <w:rPr>
          <w:b/>
          <w:sz w:val="22"/>
        </w:rPr>
      </w:pPr>
      <w:r w:rsidRPr="0089015B">
        <w:rPr>
          <w:b/>
          <w:sz w:val="22"/>
        </w:rPr>
        <w:t>II.</w:t>
      </w:r>
      <w:r w:rsidRPr="0089015B">
        <w:rPr>
          <w:b/>
          <w:sz w:val="22"/>
        </w:rPr>
        <w:tab/>
        <w:t>Ingresos de Fuentes Federales</w:t>
      </w:r>
    </w:p>
    <w:p w14:paraId="09B4BA36" w14:textId="77777777" w:rsidR="002B0869" w:rsidRPr="00953B6F" w:rsidRDefault="002B0869" w:rsidP="002B0869">
      <w:pPr>
        <w:rPr>
          <w:sz w:val="22"/>
        </w:rPr>
      </w:pPr>
    </w:p>
    <w:p w14:paraId="75584C88" w14:textId="77777777" w:rsidR="002B0869" w:rsidRPr="00953B6F" w:rsidRDefault="002B0869" w:rsidP="002B0869">
      <w:pPr>
        <w:rPr>
          <w:sz w:val="22"/>
        </w:rPr>
      </w:pPr>
      <w:r w:rsidRPr="00953B6F">
        <w:rPr>
          <w:sz w:val="22"/>
        </w:rPr>
        <w:t>Las Participaciones Federales presentan un 54.37 por ciento de avance al segundo trimestre respecto a lo programado en Ley de Ingresos 2025. En ese sentido, los recursos recibidos de participaciones ascendieron a 23 mil 119 millones 061 mil 004 pesos.</w:t>
      </w:r>
    </w:p>
    <w:p w14:paraId="577CEFF8" w14:textId="77777777" w:rsidR="002B0869" w:rsidRPr="00953B6F" w:rsidRDefault="002B0869" w:rsidP="002B0869">
      <w:pPr>
        <w:rPr>
          <w:sz w:val="22"/>
        </w:rPr>
      </w:pPr>
    </w:p>
    <w:p w14:paraId="6F0EF2F4" w14:textId="77777777" w:rsidR="002B0869" w:rsidRPr="00953B6F" w:rsidRDefault="002B0869" w:rsidP="002B0869">
      <w:pPr>
        <w:rPr>
          <w:sz w:val="22"/>
        </w:rPr>
      </w:pPr>
      <w:r w:rsidRPr="00953B6F">
        <w:rPr>
          <w:sz w:val="22"/>
        </w:rPr>
        <w:t xml:space="preserve">Por su parte, los recursos de Aportaciones Federales del Ramo 33 presentaron un avance del 45.46 por ciento por la cantidad de 19 mil 373 millones 549 mil 099 pesos; las transferencias por Convenio un 122.95 por ciento, debido a que en la Ley de Ingresos solo se estiman los convenios recurrentes más significativos en materia de educación y salud. </w:t>
      </w:r>
    </w:p>
    <w:p w14:paraId="2B8B7021" w14:textId="77777777" w:rsidR="002B0869" w:rsidRPr="00953B6F" w:rsidRDefault="002B0869" w:rsidP="002B0869">
      <w:pPr>
        <w:rPr>
          <w:sz w:val="22"/>
        </w:rPr>
      </w:pPr>
    </w:p>
    <w:p w14:paraId="1F5974A3" w14:textId="77777777" w:rsidR="002B0869" w:rsidRDefault="002B0869" w:rsidP="002B0869">
      <w:pPr>
        <w:rPr>
          <w:sz w:val="22"/>
        </w:rPr>
      </w:pPr>
      <w:r w:rsidRPr="00953B6F">
        <w:rPr>
          <w:sz w:val="22"/>
        </w:rPr>
        <w:t>Finalmente, los Incentivos derivados de la Colaboración Fiscal presentan un avance del 62.75 por ciento respecto a lo programado en todo el ejercicio fiscal, principalmente de Incentivos de Fiscalización Concurrente, establecidos mediante el Convenio de Colaboración Administrativa en Materia Fiscal Federal.</w:t>
      </w:r>
    </w:p>
    <w:p w14:paraId="45DC521A" w14:textId="77777777" w:rsidR="002B0869" w:rsidRPr="00657726" w:rsidRDefault="002B0869" w:rsidP="002B0869">
      <w:pPr>
        <w:rPr>
          <w:sz w:val="22"/>
        </w:rPr>
      </w:pPr>
    </w:p>
    <w:p w14:paraId="304694D3" w14:textId="77777777" w:rsidR="002B0869" w:rsidRDefault="002B0869" w:rsidP="002B0869">
      <w:pPr>
        <w:rPr>
          <w:b/>
          <w:sz w:val="22"/>
        </w:rPr>
      </w:pPr>
      <w:r w:rsidRPr="00953B6F">
        <w:rPr>
          <w:b/>
          <w:sz w:val="22"/>
        </w:rPr>
        <w:lastRenderedPageBreak/>
        <w:t>b)</w:t>
      </w:r>
      <w:r w:rsidRPr="00953B6F">
        <w:rPr>
          <w:b/>
          <w:sz w:val="22"/>
        </w:rPr>
        <w:tab/>
        <w:t>Proyección de la recaudación en el mediano plazo</w:t>
      </w:r>
    </w:p>
    <w:p w14:paraId="1EC83347" w14:textId="77777777" w:rsidR="002B0869" w:rsidRPr="00953B6F" w:rsidRDefault="002B0869" w:rsidP="002B0869">
      <w:pPr>
        <w:rPr>
          <w:b/>
          <w:sz w:val="22"/>
        </w:rPr>
      </w:pPr>
    </w:p>
    <w:p w14:paraId="0163EF5B" w14:textId="77777777" w:rsidR="002B0869" w:rsidRDefault="002B0869" w:rsidP="002B0869">
      <w:pPr>
        <w:rPr>
          <w:b/>
          <w:sz w:val="22"/>
        </w:rPr>
      </w:pPr>
      <w:r w:rsidRPr="004142A6">
        <w:rPr>
          <w:b/>
          <w:sz w:val="22"/>
        </w:rPr>
        <w:t>I.</w:t>
      </w:r>
      <w:r w:rsidRPr="004142A6">
        <w:rPr>
          <w:b/>
          <w:sz w:val="22"/>
        </w:rPr>
        <w:tab/>
        <w:t>Ingresos de Fuentes Locales</w:t>
      </w:r>
    </w:p>
    <w:p w14:paraId="71E23140" w14:textId="77777777" w:rsidR="002B0869" w:rsidRDefault="002B0869" w:rsidP="002B0869">
      <w:pPr>
        <w:rPr>
          <w:sz w:val="22"/>
        </w:rPr>
      </w:pPr>
      <w:r w:rsidRPr="00953B6F">
        <w:rPr>
          <w:sz w:val="22"/>
        </w:rPr>
        <w:t xml:space="preserve">Para realizar el pronóstico de los impuestos a recaudar en el período 2025-2030 se implementó un análisis econométrico de </w:t>
      </w:r>
      <w:proofErr w:type="spellStart"/>
      <w:r w:rsidRPr="00953B6F">
        <w:rPr>
          <w:sz w:val="22"/>
        </w:rPr>
        <w:t>suavizamiento</w:t>
      </w:r>
      <w:proofErr w:type="spellEnd"/>
      <w:r w:rsidRPr="00953B6F">
        <w:rPr>
          <w:sz w:val="22"/>
        </w:rPr>
        <w:t xml:space="preserve"> exponencial multiplicativo, utilizando los datos de recaudación en una serie de tiempo mensual de julio de 2018 a agosto del 2024, a partir de los cuales el modelo proyecta la cantidad a recaudar por cada mes correspondiente del año 2025, en función del comportamiento histórico del período. Adicionalmente se consideran otras variables que tienen incidencia específica en la proyección de cada uno de los impuestos estatales: </w:t>
      </w:r>
    </w:p>
    <w:p w14:paraId="0D885120" w14:textId="77777777" w:rsidR="002B0869" w:rsidRDefault="002B0869" w:rsidP="002B0869">
      <w:pPr>
        <w:rPr>
          <w:sz w:val="22"/>
        </w:rPr>
      </w:pPr>
      <w:r w:rsidRPr="00953B6F">
        <w:rPr>
          <w:sz w:val="22"/>
        </w:rPr>
        <w:t>a. Composición del Padrón de Contribuyentes, en donde la recaudación del sector público federal, estatal y municipal, para el caso del Impuesto sobre Nómina tiene un comportamiento distinto a la del sector privado.</w:t>
      </w:r>
    </w:p>
    <w:p w14:paraId="419CF4CB" w14:textId="77777777" w:rsidR="002B0869" w:rsidRPr="00953B6F" w:rsidRDefault="002B0869" w:rsidP="002B0869">
      <w:pPr>
        <w:rPr>
          <w:sz w:val="22"/>
        </w:rPr>
      </w:pPr>
    </w:p>
    <w:p w14:paraId="3D67E41E" w14:textId="77777777" w:rsidR="002B0869" w:rsidRDefault="002B0869" w:rsidP="002B0869">
      <w:pPr>
        <w:rPr>
          <w:sz w:val="22"/>
        </w:rPr>
      </w:pPr>
      <w:r w:rsidRPr="00953B6F">
        <w:rPr>
          <w:sz w:val="22"/>
        </w:rPr>
        <w:t>b. Valuación de estrategias para recuperación de adeudos de contribuyentes del sector privado.</w:t>
      </w:r>
    </w:p>
    <w:p w14:paraId="55A71A9B" w14:textId="77777777" w:rsidR="002B0869" w:rsidRPr="00953B6F" w:rsidRDefault="002B0869" w:rsidP="002B0869">
      <w:pPr>
        <w:rPr>
          <w:sz w:val="22"/>
        </w:rPr>
      </w:pPr>
    </w:p>
    <w:p w14:paraId="06B47FA2" w14:textId="77777777" w:rsidR="002B0869" w:rsidRDefault="002B0869" w:rsidP="002B0869">
      <w:pPr>
        <w:rPr>
          <w:sz w:val="22"/>
        </w:rPr>
      </w:pPr>
      <w:r w:rsidRPr="00953B6F">
        <w:rPr>
          <w:sz w:val="22"/>
        </w:rPr>
        <w:t>c. Valuación de estrategias de incorporación al padrón.</w:t>
      </w:r>
    </w:p>
    <w:p w14:paraId="55911CBA" w14:textId="77777777" w:rsidR="002B0869" w:rsidRPr="00953B6F" w:rsidRDefault="002B0869" w:rsidP="002B0869">
      <w:pPr>
        <w:rPr>
          <w:sz w:val="22"/>
        </w:rPr>
      </w:pPr>
    </w:p>
    <w:p w14:paraId="3B07F239" w14:textId="77777777" w:rsidR="002B0869" w:rsidRPr="00953B6F" w:rsidRDefault="002B0869" w:rsidP="002B0869">
      <w:pPr>
        <w:rPr>
          <w:sz w:val="22"/>
        </w:rPr>
      </w:pPr>
      <w:r w:rsidRPr="00953B6F">
        <w:rPr>
          <w:sz w:val="22"/>
        </w:rPr>
        <w:t>d. Ponderación del indicador de la actividad económica estatal, en la perspectiva de la creación de empresas y puestos de trabajo en Michoacán y que determinen la incorporación al padrón estatal.</w:t>
      </w:r>
    </w:p>
    <w:p w14:paraId="3AE448B4" w14:textId="77777777" w:rsidR="002B0869" w:rsidRPr="00953B6F" w:rsidRDefault="002B0869" w:rsidP="002B0869">
      <w:pPr>
        <w:rPr>
          <w:sz w:val="22"/>
        </w:rPr>
      </w:pPr>
    </w:p>
    <w:p w14:paraId="62C5EC9E" w14:textId="77777777" w:rsidR="002B0869" w:rsidRDefault="002B0869" w:rsidP="002B0869">
      <w:pPr>
        <w:rPr>
          <w:sz w:val="22"/>
        </w:rPr>
      </w:pPr>
      <w:r w:rsidRPr="00953B6F">
        <w:rPr>
          <w:sz w:val="22"/>
        </w:rPr>
        <w:t xml:space="preserve">La proyección de Derechos se realizó con base en el número de trámites mensuales, multiplicados por la tarifa correspondiente proyectada, considerando el margen de la inflación establecida en los Criterios Generales de Política Económica para 2025. </w:t>
      </w:r>
    </w:p>
    <w:p w14:paraId="5E135153" w14:textId="77777777" w:rsidR="002B0869" w:rsidRPr="00953B6F" w:rsidRDefault="002B0869" w:rsidP="002B0869">
      <w:pPr>
        <w:rPr>
          <w:sz w:val="22"/>
        </w:rPr>
      </w:pPr>
    </w:p>
    <w:p w14:paraId="2623B485" w14:textId="77777777" w:rsidR="002B0869" w:rsidRDefault="002B0869" w:rsidP="002B0869">
      <w:pPr>
        <w:rPr>
          <w:sz w:val="22"/>
        </w:rPr>
      </w:pPr>
      <w:r w:rsidRPr="00953B6F">
        <w:rPr>
          <w:sz w:val="22"/>
        </w:rPr>
        <w:lastRenderedPageBreak/>
        <w:t>La proyección de Productos, Aprovechamientos e Ingresos por Venta de Bienes se realiza con base en la tasa de crecimiento anual observada desde el ejercicio 2018-2024 y una estimación de esfuerzo recaudatorio promedio de 10% anual.</w:t>
      </w:r>
    </w:p>
    <w:p w14:paraId="42D12437" w14:textId="77777777" w:rsidR="002B0869" w:rsidRPr="00953B6F" w:rsidRDefault="002B0869" w:rsidP="002B0869">
      <w:pPr>
        <w:rPr>
          <w:sz w:val="22"/>
        </w:rPr>
      </w:pPr>
    </w:p>
    <w:p w14:paraId="6C6719E9" w14:textId="77777777" w:rsidR="002B0869" w:rsidRDefault="002B0869" w:rsidP="002B0869">
      <w:pPr>
        <w:rPr>
          <w:sz w:val="22"/>
        </w:rPr>
      </w:pPr>
      <w:r w:rsidRPr="00953B6F">
        <w:rPr>
          <w:sz w:val="22"/>
        </w:rPr>
        <w:t xml:space="preserve">Los ingresos propios observan un crecimiento promedio anual de 10% en el período, atendiendo a la meta establecida por el </w:t>
      </w:r>
      <w:r w:rsidRPr="00CB6194">
        <w:rPr>
          <w:sz w:val="22"/>
        </w:rPr>
        <w:t>Plan de Desarrollo Integral del Estado de Michoacán 2021-2027.</w:t>
      </w:r>
    </w:p>
    <w:p w14:paraId="4A59E7DF" w14:textId="77777777" w:rsidR="002B0869" w:rsidRDefault="002B0869" w:rsidP="002B0869">
      <w:pPr>
        <w:rPr>
          <w:sz w:val="22"/>
        </w:rPr>
      </w:pPr>
    </w:p>
    <w:p w14:paraId="762122F6" w14:textId="77777777" w:rsidR="002B0869" w:rsidRPr="00657726" w:rsidRDefault="002B0869" w:rsidP="002B0869">
      <w:pPr>
        <w:rPr>
          <w:sz w:val="22"/>
        </w:rPr>
      </w:pPr>
    </w:p>
    <w:p w14:paraId="7047261C" w14:textId="77777777" w:rsidR="002B0869" w:rsidRPr="0089015B" w:rsidRDefault="002B0869" w:rsidP="002B0869">
      <w:pPr>
        <w:rPr>
          <w:b/>
          <w:sz w:val="22"/>
        </w:rPr>
      </w:pPr>
      <w:r w:rsidRPr="0089015B">
        <w:rPr>
          <w:b/>
          <w:sz w:val="22"/>
        </w:rPr>
        <w:t>II.</w:t>
      </w:r>
      <w:r w:rsidRPr="0089015B">
        <w:rPr>
          <w:b/>
          <w:sz w:val="22"/>
        </w:rPr>
        <w:tab/>
        <w:t>Ingresos de Fuentes Federales</w:t>
      </w:r>
    </w:p>
    <w:p w14:paraId="748DEBFE" w14:textId="77777777" w:rsidR="002B0869" w:rsidRPr="004142A6" w:rsidRDefault="002B0869" w:rsidP="002B0869">
      <w:pPr>
        <w:rPr>
          <w:b/>
          <w:sz w:val="22"/>
        </w:rPr>
      </w:pPr>
    </w:p>
    <w:p w14:paraId="03A357CD" w14:textId="77777777" w:rsidR="002B0869" w:rsidRDefault="002B0869" w:rsidP="002B0869">
      <w:pPr>
        <w:spacing w:before="0" w:after="0"/>
        <w:rPr>
          <w:rFonts w:eastAsia="Calibri" w:cs="Times New Roman"/>
          <w:b/>
          <w:sz w:val="22"/>
          <w:szCs w:val="22"/>
        </w:rPr>
      </w:pPr>
      <w:r w:rsidRPr="00953B6F">
        <w:rPr>
          <w:rFonts w:eastAsia="Calibri" w:cs="Times New Roman"/>
          <w:sz w:val="22"/>
          <w:szCs w:val="22"/>
        </w:rPr>
        <w:t>La estimación de Participaciones, Aportaciones y Convenios se determinaron con base en el monto nacional definido en el Proyecto de Presupuesto de Egresos de la Federación, que asciende a 1 billón 340 mil 210 millones de pesos, y considerando los coeficientes de distribución observados en los últimos 5 años, en los que Michoacán tiene una</w:t>
      </w:r>
      <w:r w:rsidRPr="00953B6F">
        <w:rPr>
          <w:rFonts w:eastAsia="Calibri" w:cs="Times New Roman"/>
          <w:b/>
          <w:sz w:val="22"/>
          <w:szCs w:val="22"/>
        </w:rPr>
        <w:t xml:space="preserve"> </w:t>
      </w:r>
      <w:r w:rsidRPr="00C12393">
        <w:rPr>
          <w:rFonts w:eastAsia="Calibri" w:cs="Times New Roman"/>
          <w:sz w:val="22"/>
          <w:szCs w:val="22"/>
        </w:rPr>
        <w:t>participación promedio de 3.32 por ciento en el total nacional.</w:t>
      </w:r>
      <w:r w:rsidRPr="00C12393">
        <w:rPr>
          <w:rFonts w:eastAsia="Calibri" w:cs="Times New Roman"/>
          <w:sz w:val="22"/>
          <w:szCs w:val="22"/>
        </w:rPr>
        <w:tab/>
      </w:r>
      <w:r w:rsidRPr="004F06F2">
        <w:rPr>
          <w:rFonts w:eastAsia="Calibri" w:cs="Times New Roman"/>
          <w:b/>
          <w:sz w:val="22"/>
          <w:szCs w:val="22"/>
        </w:rPr>
        <w:tab/>
      </w:r>
    </w:p>
    <w:p w14:paraId="2C6C15F0"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r w:rsidRPr="004F06F2">
        <w:rPr>
          <w:rFonts w:eastAsia="Calibri" w:cs="Times New Roman"/>
          <w:b/>
          <w:sz w:val="22"/>
          <w:szCs w:val="22"/>
        </w:rPr>
        <w:tab/>
      </w:r>
    </w:p>
    <w:p w14:paraId="49925015" w14:textId="77777777" w:rsidR="002B0869" w:rsidRPr="004F06F2" w:rsidRDefault="002B0869" w:rsidP="002B0869">
      <w:pPr>
        <w:spacing w:before="0" w:after="0"/>
        <w:rPr>
          <w:rFonts w:eastAsia="Calibri" w:cs="Times New Roman"/>
          <w:b/>
          <w:sz w:val="22"/>
          <w:szCs w:val="22"/>
        </w:rPr>
      </w:pPr>
      <w:r w:rsidRPr="00FA7516">
        <w:rPr>
          <w:rFonts w:eastAsia="Calibri" w:cs="Times New Roman"/>
          <w:b/>
          <w:sz w:val="22"/>
          <w:szCs w:val="22"/>
        </w:rPr>
        <w:t>10. Información sobre la Deuda y el Reporte analítico de la deuda.</w:t>
      </w:r>
    </w:p>
    <w:p w14:paraId="0D1722CE" w14:textId="77777777" w:rsidR="002B0869" w:rsidRPr="004F06F2" w:rsidRDefault="002B0869" w:rsidP="002B0869">
      <w:pPr>
        <w:spacing w:before="0" w:after="0"/>
        <w:rPr>
          <w:rFonts w:eastAsia="Calibri" w:cs="Times New Roman"/>
          <w:b/>
          <w:sz w:val="22"/>
          <w:szCs w:val="22"/>
        </w:rPr>
      </w:pPr>
    </w:p>
    <w:p w14:paraId="4B9EDEE6"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a) Utilizar al menos los siguientes indicadores: deuda respecto al PIB y Deuda respecto a la recaudación tomando, como mínimo, un periodo igual o menor de 5 años.</w:t>
      </w:r>
    </w:p>
    <w:p w14:paraId="28DA01E3" w14:textId="77777777" w:rsidR="002B0869" w:rsidRPr="004F06F2" w:rsidRDefault="002B0869" w:rsidP="002B0869">
      <w:pPr>
        <w:spacing w:before="0" w:after="0"/>
        <w:rPr>
          <w:rFonts w:eastAsia="Calibri" w:cs="Times New Roman"/>
          <w:bCs/>
          <w:sz w:val="22"/>
          <w:szCs w:val="22"/>
        </w:rPr>
      </w:pPr>
    </w:p>
    <w:p w14:paraId="4E871D42" w14:textId="77777777" w:rsidR="002B0869" w:rsidRPr="00D071C6" w:rsidRDefault="002B0869" w:rsidP="002B0869">
      <w:pPr>
        <w:spacing w:before="0" w:after="0"/>
        <w:rPr>
          <w:rFonts w:eastAsia="Calibri" w:cs="Times New Roman"/>
          <w:bCs/>
          <w:sz w:val="22"/>
          <w:szCs w:val="22"/>
        </w:rPr>
      </w:pPr>
      <w:r w:rsidRPr="00D071C6">
        <w:rPr>
          <w:rFonts w:eastAsia="Calibri" w:cs="Times New Roman"/>
          <w:bCs/>
          <w:sz w:val="22"/>
          <w:szCs w:val="22"/>
        </w:rPr>
        <w:t>Al 30 de junio de 2025, la deuda pública del Estado de Michoacán representa el 3.34% del Producto Interno Bruto estatal estimado, a precios corrientes con año base 2013. Esta proporción refleja una tendencia sostenida a la baja en la razón deuda/PIB, que pasó de 4.69% en 2016 a 3.32% en 2024, lo que evidencia una mejora gradual en la sostenibilidad fiscal de la entidad.</w:t>
      </w:r>
    </w:p>
    <w:p w14:paraId="307A44DE" w14:textId="77777777" w:rsidR="002B0869" w:rsidRPr="00D071C6" w:rsidRDefault="002B0869" w:rsidP="002B0869">
      <w:pPr>
        <w:spacing w:before="0" w:after="0"/>
        <w:rPr>
          <w:rFonts w:eastAsia="Calibri" w:cs="Times New Roman"/>
          <w:bCs/>
          <w:sz w:val="22"/>
          <w:szCs w:val="22"/>
        </w:rPr>
      </w:pPr>
    </w:p>
    <w:p w14:paraId="5DB0D4F5" w14:textId="77777777" w:rsidR="002B0869" w:rsidRPr="00D071C6" w:rsidRDefault="002B0869" w:rsidP="002B0869">
      <w:pPr>
        <w:spacing w:before="0" w:after="0"/>
        <w:rPr>
          <w:rFonts w:eastAsia="Calibri" w:cs="Times New Roman"/>
          <w:bCs/>
          <w:sz w:val="22"/>
          <w:szCs w:val="22"/>
        </w:rPr>
      </w:pPr>
      <w:r w:rsidRPr="00D071C6">
        <w:rPr>
          <w:rFonts w:eastAsia="Calibri" w:cs="Times New Roman"/>
          <w:bCs/>
          <w:sz w:val="22"/>
          <w:szCs w:val="22"/>
        </w:rPr>
        <w:lastRenderedPageBreak/>
        <w:t>Esta reducción obedece tanto a un crecimiento económico superior al ritmo de endeudamiento, como a la aplicación de una política financiera responsable orientada al control del saldo de la deuda. Además, el Estado ha mantenido sus indicadores dentro de los parámetros establecidos por la Ley de Disciplina Financiera de las Entidades Federativas y los Municipios.</w:t>
      </w:r>
    </w:p>
    <w:p w14:paraId="63E6B2D0" w14:textId="77777777" w:rsidR="002B0869" w:rsidRPr="00D071C6" w:rsidRDefault="002B0869" w:rsidP="002B0869">
      <w:pPr>
        <w:spacing w:before="0" w:after="0"/>
        <w:rPr>
          <w:rFonts w:eastAsia="Calibri" w:cs="Times New Roman"/>
          <w:bCs/>
          <w:sz w:val="22"/>
          <w:szCs w:val="22"/>
        </w:rPr>
      </w:pPr>
    </w:p>
    <w:p w14:paraId="2466C06A" w14:textId="77777777" w:rsidR="002B0869" w:rsidRPr="00D071C6" w:rsidRDefault="002B0869" w:rsidP="002B0869">
      <w:pPr>
        <w:spacing w:before="0" w:after="0"/>
        <w:rPr>
          <w:rFonts w:eastAsia="Calibri" w:cs="Times New Roman"/>
          <w:bCs/>
          <w:sz w:val="22"/>
          <w:szCs w:val="22"/>
        </w:rPr>
      </w:pPr>
      <w:r w:rsidRPr="00D071C6">
        <w:rPr>
          <w:rFonts w:eastAsia="Calibri" w:cs="Times New Roman"/>
          <w:bCs/>
          <w:sz w:val="22"/>
          <w:szCs w:val="22"/>
        </w:rPr>
        <w:t>Cabe destacar que, si bien la razón deuda/PIB se mantuvo estable en 3.34% al cierre del segundo trimestre de 2025, el entorno macroeconómico muestra señales favorables, como la disminución paulatina de la Tasa de Interés Interbancaria de Equilibrio (TIIE a 28 días), lo que podría contribuir a reducir el costo financiero de la deuda en los próximos periodos.</w:t>
      </w:r>
    </w:p>
    <w:p w14:paraId="14F056BC" w14:textId="77777777" w:rsidR="002B0869" w:rsidRPr="00D071C6" w:rsidRDefault="002B0869" w:rsidP="002B0869">
      <w:pPr>
        <w:spacing w:before="0" w:after="0"/>
        <w:rPr>
          <w:rFonts w:eastAsia="Calibri" w:cs="Times New Roman"/>
          <w:bCs/>
          <w:sz w:val="22"/>
          <w:szCs w:val="22"/>
        </w:rPr>
      </w:pPr>
    </w:p>
    <w:p w14:paraId="633C34EC" w14:textId="77777777" w:rsidR="002B0869" w:rsidRPr="004F06F2" w:rsidRDefault="002B0869" w:rsidP="002B0869">
      <w:pPr>
        <w:spacing w:before="0" w:after="0"/>
        <w:rPr>
          <w:rFonts w:eastAsia="Calibri" w:cs="Times New Roman"/>
          <w:bCs/>
          <w:sz w:val="22"/>
          <w:szCs w:val="22"/>
        </w:rPr>
      </w:pPr>
      <w:r w:rsidRPr="00D071C6">
        <w:rPr>
          <w:rFonts w:eastAsia="Calibri" w:cs="Times New Roman"/>
          <w:bCs/>
          <w:sz w:val="22"/>
          <w:szCs w:val="22"/>
        </w:rPr>
        <w:t>La evolución de este indicador se presenta en las gráficas siguientes, como parte del análisis integral de sostenibilidad fiscal del Estado</w:t>
      </w:r>
      <w:r>
        <w:rPr>
          <w:rFonts w:eastAsia="Calibri" w:cs="Times New Roman"/>
          <w:bCs/>
          <w:sz w:val="22"/>
          <w:szCs w:val="22"/>
        </w:rPr>
        <w:t>:</w:t>
      </w:r>
    </w:p>
    <w:p w14:paraId="17C73EA5" w14:textId="77777777" w:rsidR="002B0869" w:rsidRPr="004F06F2" w:rsidRDefault="002B0869" w:rsidP="002B0869">
      <w:pPr>
        <w:spacing w:before="0" w:after="0"/>
        <w:rPr>
          <w:rFonts w:eastAsia="Calibri" w:cs="Times New Roman"/>
          <w:bCs/>
          <w:sz w:val="22"/>
          <w:szCs w:val="22"/>
        </w:rPr>
      </w:pPr>
      <w:r w:rsidRPr="00B533E3">
        <w:rPr>
          <w:noProof/>
          <w:lang w:val="es-MX" w:eastAsia="es-MX"/>
        </w:rPr>
        <w:drawing>
          <wp:inline distT="0" distB="0" distL="0" distR="0" wp14:anchorId="41E3D989" wp14:editId="5D1D2F0A">
            <wp:extent cx="6351270" cy="970280"/>
            <wp:effectExtent l="0" t="0" r="0" b="1270"/>
            <wp:docPr id="8718086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1270" cy="970280"/>
                    </a:xfrm>
                    <a:prstGeom prst="rect">
                      <a:avLst/>
                    </a:prstGeom>
                    <a:noFill/>
                    <a:ln>
                      <a:noFill/>
                    </a:ln>
                  </pic:spPr>
                </pic:pic>
              </a:graphicData>
            </a:graphic>
          </wp:inline>
        </w:drawing>
      </w:r>
    </w:p>
    <w:p w14:paraId="51BAEB8D" w14:textId="77777777" w:rsidR="002B0869" w:rsidRPr="004F06F2" w:rsidRDefault="002B0869" w:rsidP="002B0869">
      <w:pPr>
        <w:spacing w:before="0" w:after="0"/>
        <w:rPr>
          <w:rFonts w:eastAsia="Calibri" w:cs="Times New Roman"/>
          <w:b/>
          <w:sz w:val="22"/>
          <w:szCs w:val="22"/>
        </w:rPr>
      </w:pPr>
      <w:bookmarkStart w:id="2" w:name="_Hlk133586266"/>
    </w:p>
    <w:p w14:paraId="0AEB4F20" w14:textId="77777777" w:rsidR="002B0869" w:rsidRPr="004F06F2" w:rsidRDefault="002B0869" w:rsidP="002B0869">
      <w:pPr>
        <w:spacing w:before="0" w:after="0"/>
        <w:rPr>
          <w:rFonts w:eastAsia="Calibri" w:cs="Times New Roman"/>
          <w:b/>
          <w:sz w:val="22"/>
          <w:szCs w:val="22"/>
        </w:rPr>
      </w:pPr>
      <w:r>
        <w:rPr>
          <w:noProof/>
          <w:lang w:val="es-MX" w:eastAsia="es-MX"/>
        </w:rPr>
        <w:drawing>
          <wp:inline distT="0" distB="0" distL="0" distR="0" wp14:anchorId="43A27D68" wp14:editId="4BB1D267">
            <wp:extent cx="6351270" cy="2044700"/>
            <wp:effectExtent l="0" t="0" r="0" b="0"/>
            <wp:docPr id="10" name="Imagen 4"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EC480F-7355-2F60-82FD-A4C26310D0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EC480F-7355-2F60-82FD-A4C26310D0E4}"/>
                        </a:ext>
                      </a:extLst>
                    </pic:cNvPr>
                    <pic:cNvPicPr>
                      <a:picLocks noChangeAspect="1"/>
                    </pic:cNvPicPr>
                  </pic:nvPicPr>
                  <pic:blipFill>
                    <a:blip r:embed="rId16"/>
                    <a:stretch>
                      <a:fillRect/>
                    </a:stretch>
                  </pic:blipFill>
                  <pic:spPr>
                    <a:xfrm>
                      <a:off x="0" y="0"/>
                      <a:ext cx="6351270" cy="2044700"/>
                    </a:xfrm>
                    <a:prstGeom prst="rect">
                      <a:avLst/>
                    </a:prstGeom>
                  </pic:spPr>
                </pic:pic>
              </a:graphicData>
            </a:graphic>
          </wp:inline>
        </w:drawing>
      </w:r>
    </w:p>
    <w:p w14:paraId="00473C5F" w14:textId="77777777" w:rsidR="002B0869" w:rsidRPr="004F06F2" w:rsidRDefault="002B0869" w:rsidP="002B0869">
      <w:pPr>
        <w:tabs>
          <w:tab w:val="left" w:pos="2835"/>
        </w:tabs>
        <w:spacing w:before="0" w:after="0"/>
        <w:rPr>
          <w:rFonts w:eastAsia="Calibri" w:cs="Times New Roman"/>
          <w:b/>
          <w:sz w:val="22"/>
          <w:szCs w:val="22"/>
        </w:rPr>
      </w:pPr>
      <w:r w:rsidRPr="004F06F2">
        <w:rPr>
          <w:rFonts w:eastAsia="Calibri" w:cs="Times New Roman"/>
          <w:b/>
          <w:sz w:val="22"/>
          <w:szCs w:val="22"/>
        </w:rPr>
        <w:t xml:space="preserve"> </w:t>
      </w:r>
    </w:p>
    <w:p w14:paraId="47E3AF66" w14:textId="77777777" w:rsidR="002B0869" w:rsidRPr="00307BAC" w:rsidRDefault="002B0869" w:rsidP="002B0869">
      <w:pPr>
        <w:spacing w:before="0" w:after="0"/>
        <w:rPr>
          <w:rFonts w:eastAsia="Calibri" w:cs="Times New Roman"/>
          <w:bCs/>
          <w:sz w:val="22"/>
          <w:szCs w:val="22"/>
        </w:rPr>
      </w:pPr>
      <w:r w:rsidRPr="00307BAC">
        <w:rPr>
          <w:rFonts w:eastAsia="Calibri" w:cs="Times New Roman"/>
          <w:bCs/>
          <w:sz w:val="22"/>
          <w:szCs w:val="22"/>
        </w:rPr>
        <w:t xml:space="preserve">En el mismo sentido, el saldo de la deuda pública del Estado de Michoacán al 30 de junio de 2025 representa el 41.89% de los ingresos </w:t>
      </w:r>
      <w:r w:rsidRPr="00307BAC">
        <w:rPr>
          <w:rFonts w:eastAsia="Calibri" w:cs="Times New Roman"/>
          <w:bCs/>
          <w:sz w:val="22"/>
          <w:szCs w:val="22"/>
        </w:rPr>
        <w:lastRenderedPageBreak/>
        <w:t xml:space="preserve">de libre disposición </w:t>
      </w:r>
      <w:r>
        <w:rPr>
          <w:rFonts w:eastAsia="Calibri" w:cs="Times New Roman"/>
          <w:bCs/>
          <w:sz w:val="22"/>
          <w:szCs w:val="22"/>
        </w:rPr>
        <w:t>estimados</w:t>
      </w:r>
      <w:r w:rsidRPr="00307BAC">
        <w:rPr>
          <w:rFonts w:eastAsia="Calibri" w:cs="Times New Roman"/>
          <w:bCs/>
          <w:sz w:val="22"/>
          <w:szCs w:val="22"/>
        </w:rPr>
        <w:t xml:space="preserve"> en el periodo, manteniéndose dentro de los parámetros establecidos por la Ley de Disciplina Financiera de las Entidades Federativas y los Municipios.</w:t>
      </w:r>
    </w:p>
    <w:p w14:paraId="04CCC050" w14:textId="77777777" w:rsidR="002B0869" w:rsidRPr="00307BAC" w:rsidRDefault="002B0869" w:rsidP="002B0869">
      <w:pPr>
        <w:spacing w:before="0" w:after="0"/>
        <w:rPr>
          <w:rFonts w:eastAsia="Calibri" w:cs="Times New Roman"/>
          <w:bCs/>
          <w:sz w:val="22"/>
          <w:szCs w:val="22"/>
        </w:rPr>
      </w:pPr>
    </w:p>
    <w:p w14:paraId="3DFA8046" w14:textId="77777777" w:rsidR="002B0869" w:rsidRPr="00307BAC" w:rsidRDefault="002B0869" w:rsidP="002B0869">
      <w:pPr>
        <w:spacing w:before="0" w:after="0"/>
        <w:rPr>
          <w:rFonts w:eastAsia="Calibri" w:cs="Times New Roman"/>
          <w:bCs/>
          <w:sz w:val="22"/>
          <w:szCs w:val="22"/>
        </w:rPr>
      </w:pPr>
      <w:r w:rsidRPr="00307BAC">
        <w:rPr>
          <w:rFonts w:eastAsia="Calibri" w:cs="Times New Roman"/>
          <w:bCs/>
          <w:sz w:val="22"/>
          <w:szCs w:val="22"/>
        </w:rPr>
        <w:t>Este indicador permite evaluar la capacidad real del Estado para cubrir sus obligaciones financieras con recursos propios, excluyendo ingresos etiquetados o condicionados. Una razón más elevada implicaría una mayor presión sobre el presupuesto disponible, mientras que una razón descendente refleja un entorno fiscal más saludable.</w:t>
      </w:r>
    </w:p>
    <w:p w14:paraId="4E17D4A5" w14:textId="77777777" w:rsidR="002B0869" w:rsidRPr="00307BAC" w:rsidRDefault="002B0869" w:rsidP="002B0869">
      <w:pPr>
        <w:spacing w:before="0" w:after="0"/>
        <w:rPr>
          <w:rFonts w:eastAsia="Calibri" w:cs="Times New Roman"/>
          <w:bCs/>
          <w:sz w:val="22"/>
          <w:szCs w:val="22"/>
        </w:rPr>
      </w:pPr>
    </w:p>
    <w:p w14:paraId="0345A845" w14:textId="77777777" w:rsidR="002B0869" w:rsidRPr="00307BAC" w:rsidRDefault="002B0869" w:rsidP="002B0869">
      <w:pPr>
        <w:spacing w:before="0" w:after="0"/>
        <w:rPr>
          <w:rFonts w:eastAsia="Calibri" w:cs="Times New Roman"/>
          <w:bCs/>
          <w:sz w:val="22"/>
          <w:szCs w:val="22"/>
        </w:rPr>
      </w:pPr>
      <w:r w:rsidRPr="00307BAC">
        <w:rPr>
          <w:rFonts w:eastAsia="Calibri" w:cs="Times New Roman"/>
          <w:bCs/>
          <w:sz w:val="22"/>
          <w:szCs w:val="22"/>
        </w:rPr>
        <w:t>La tendencia general de la razón deuda/ingresos de libre disposición ha sido positiva, con una reducción significativa en la carga financiera relativa, pasando de 85.06% en 2016 a 41.89% en junio de 2025, aunque con interrupciones temporales en 2020 y 2021 derivadas del impacto económico de la pandemia.</w:t>
      </w:r>
    </w:p>
    <w:p w14:paraId="225508E1" w14:textId="77777777" w:rsidR="002B0869" w:rsidRPr="00307BAC" w:rsidRDefault="002B0869" w:rsidP="002B0869">
      <w:pPr>
        <w:spacing w:before="0" w:after="0"/>
        <w:rPr>
          <w:rFonts w:eastAsia="Calibri" w:cs="Times New Roman"/>
          <w:bCs/>
          <w:sz w:val="22"/>
          <w:szCs w:val="22"/>
        </w:rPr>
      </w:pPr>
    </w:p>
    <w:p w14:paraId="334260DB" w14:textId="77777777" w:rsidR="002B0869" w:rsidRPr="00307BAC" w:rsidRDefault="002B0869" w:rsidP="002B0869">
      <w:pPr>
        <w:spacing w:before="0" w:after="0"/>
        <w:rPr>
          <w:rFonts w:eastAsia="Calibri" w:cs="Times New Roman"/>
          <w:bCs/>
          <w:sz w:val="22"/>
          <w:szCs w:val="22"/>
        </w:rPr>
      </w:pPr>
      <w:r w:rsidRPr="00307BAC">
        <w:rPr>
          <w:rFonts w:eastAsia="Calibri" w:cs="Times New Roman"/>
          <w:bCs/>
          <w:sz w:val="22"/>
          <w:szCs w:val="22"/>
        </w:rPr>
        <w:t>Esta evolución refleja una mejoría sostenida en la capacidad del Estado para atender sus compromisos financieros con recursos propios, fortaleciendo su sostenibilidad fiscal y alineándose con los criterios de responsabilidad establecidos en el marco normativo vigente.</w:t>
      </w:r>
    </w:p>
    <w:p w14:paraId="148A761F" w14:textId="77777777" w:rsidR="002B0869" w:rsidRPr="00307BAC" w:rsidRDefault="002B0869" w:rsidP="002B0869">
      <w:pPr>
        <w:spacing w:before="0" w:after="0"/>
        <w:rPr>
          <w:rFonts w:eastAsia="Calibri" w:cs="Times New Roman"/>
          <w:bCs/>
          <w:sz w:val="22"/>
          <w:szCs w:val="22"/>
        </w:rPr>
      </w:pPr>
    </w:p>
    <w:p w14:paraId="1EE23E75" w14:textId="77777777" w:rsidR="002B0869" w:rsidRDefault="002B0869" w:rsidP="002B0869">
      <w:pPr>
        <w:spacing w:before="0" w:after="0"/>
        <w:rPr>
          <w:rFonts w:eastAsia="Calibri" w:cs="Times New Roman"/>
          <w:bCs/>
          <w:sz w:val="22"/>
          <w:szCs w:val="22"/>
        </w:rPr>
      </w:pPr>
      <w:r w:rsidRPr="00307BAC">
        <w:rPr>
          <w:rFonts w:eastAsia="Calibri" w:cs="Times New Roman"/>
          <w:bCs/>
          <w:sz w:val="22"/>
          <w:szCs w:val="22"/>
        </w:rPr>
        <w:t>La trayectoria de este indicador se presenta en las gráficas siguientes, como parte del análisis integral de la posición fiscal del Estado</w:t>
      </w:r>
      <w:r>
        <w:rPr>
          <w:rFonts w:eastAsia="Calibri" w:cs="Times New Roman"/>
          <w:bCs/>
          <w:sz w:val="22"/>
          <w:szCs w:val="22"/>
        </w:rPr>
        <w:t>:</w:t>
      </w:r>
    </w:p>
    <w:p w14:paraId="6882D502" w14:textId="77777777" w:rsidR="002B0869" w:rsidRPr="004F06F2" w:rsidRDefault="002B0869" w:rsidP="002B0869">
      <w:pPr>
        <w:spacing w:before="0" w:after="0"/>
        <w:rPr>
          <w:rFonts w:eastAsia="Calibri" w:cs="Times New Roman"/>
          <w:bCs/>
          <w:sz w:val="22"/>
          <w:szCs w:val="22"/>
        </w:rPr>
      </w:pPr>
    </w:p>
    <w:p w14:paraId="7E32AB01" w14:textId="77777777" w:rsidR="002B0869" w:rsidRDefault="002B0869" w:rsidP="002B0869">
      <w:pPr>
        <w:spacing w:before="0" w:after="0"/>
        <w:rPr>
          <w:rFonts w:eastAsia="Calibri" w:cs="Times New Roman"/>
          <w:b/>
          <w:sz w:val="22"/>
          <w:szCs w:val="22"/>
          <w:lang w:val="es-MX"/>
        </w:rPr>
      </w:pPr>
      <w:r w:rsidRPr="004D5A33">
        <w:rPr>
          <w:noProof/>
          <w:lang w:val="es-MX" w:eastAsia="es-MX"/>
        </w:rPr>
        <w:drawing>
          <wp:inline distT="0" distB="0" distL="0" distR="0" wp14:anchorId="7FE1882A" wp14:editId="0A31AFCB">
            <wp:extent cx="6351270" cy="1026160"/>
            <wp:effectExtent l="0" t="0" r="0" b="2540"/>
            <wp:docPr id="9603212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1026160"/>
                    </a:xfrm>
                    <a:prstGeom prst="rect">
                      <a:avLst/>
                    </a:prstGeom>
                    <a:noFill/>
                    <a:ln>
                      <a:noFill/>
                    </a:ln>
                  </pic:spPr>
                </pic:pic>
              </a:graphicData>
            </a:graphic>
          </wp:inline>
        </w:drawing>
      </w:r>
    </w:p>
    <w:p w14:paraId="78D73A2C" w14:textId="77777777" w:rsidR="002B0869" w:rsidRPr="00B533E3" w:rsidRDefault="002B0869" w:rsidP="002B0869">
      <w:pPr>
        <w:spacing w:before="0" w:after="0"/>
        <w:rPr>
          <w:rFonts w:eastAsia="Calibri" w:cs="Times New Roman"/>
          <w:b/>
          <w:sz w:val="22"/>
          <w:szCs w:val="22"/>
          <w:lang w:val="es-MX"/>
        </w:rPr>
      </w:pPr>
    </w:p>
    <w:p w14:paraId="73DFB114" w14:textId="77777777" w:rsidR="002B0869" w:rsidRPr="004F06F2" w:rsidRDefault="002B0869" w:rsidP="002B0869">
      <w:pPr>
        <w:spacing w:before="0" w:after="0"/>
        <w:rPr>
          <w:rFonts w:eastAsia="Calibri" w:cs="Times New Roman"/>
          <w:b/>
          <w:sz w:val="22"/>
          <w:szCs w:val="22"/>
        </w:rPr>
      </w:pPr>
      <w:r>
        <w:rPr>
          <w:noProof/>
          <w:lang w:val="es-MX" w:eastAsia="es-MX"/>
        </w:rPr>
        <w:lastRenderedPageBreak/>
        <w:drawing>
          <wp:inline distT="0" distB="0" distL="0" distR="0" wp14:anchorId="2F31AE07" wp14:editId="1FEE0DA0">
            <wp:extent cx="6351270" cy="2405380"/>
            <wp:effectExtent l="0" t="0" r="0" b="0"/>
            <wp:docPr id="15" name="Imagen 5" descr="Gráfico, Gráfico de líneas&#10;&#10;El contenido generado por IA puede ser incorrecto.">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A172B-5758-B0D5-48DF-4DB922CE3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Gráfico, Gráfico de líneas&#10;&#10;El contenido generado por IA puede ser incorrecto.">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A172B-5758-B0D5-48DF-4DB922CE35AC}"/>
                        </a:ext>
                      </a:extLst>
                    </pic:cNvPr>
                    <pic:cNvPicPr>
                      <a:picLocks noChangeAspect="1"/>
                    </pic:cNvPicPr>
                  </pic:nvPicPr>
                  <pic:blipFill>
                    <a:blip r:embed="rId18"/>
                    <a:stretch>
                      <a:fillRect/>
                    </a:stretch>
                  </pic:blipFill>
                  <pic:spPr>
                    <a:xfrm>
                      <a:off x="0" y="0"/>
                      <a:ext cx="6351270" cy="2405380"/>
                    </a:xfrm>
                    <a:prstGeom prst="rect">
                      <a:avLst/>
                    </a:prstGeom>
                  </pic:spPr>
                </pic:pic>
              </a:graphicData>
            </a:graphic>
          </wp:inline>
        </w:drawing>
      </w:r>
    </w:p>
    <w:p w14:paraId="67993949" w14:textId="77777777" w:rsidR="002B0869" w:rsidRPr="004F06F2" w:rsidRDefault="002B0869" w:rsidP="002B0869">
      <w:pPr>
        <w:spacing w:before="0" w:after="0"/>
        <w:jc w:val="center"/>
        <w:rPr>
          <w:rFonts w:eastAsia="Calibri" w:cs="Times New Roman"/>
          <w:b/>
          <w:sz w:val="22"/>
          <w:szCs w:val="22"/>
        </w:rPr>
      </w:pPr>
    </w:p>
    <w:bookmarkEnd w:id="2"/>
    <w:p w14:paraId="7C378A72" w14:textId="77777777" w:rsidR="002B0869" w:rsidRPr="004F06F2" w:rsidRDefault="002B0869" w:rsidP="002B0869">
      <w:pPr>
        <w:spacing w:before="0" w:after="0"/>
        <w:rPr>
          <w:rFonts w:eastAsia="Calibri" w:cs="Times New Roman"/>
          <w:b/>
          <w:sz w:val="22"/>
          <w:szCs w:val="22"/>
        </w:rPr>
      </w:pPr>
      <w:r w:rsidRPr="008A4F67">
        <w:rPr>
          <w:rFonts w:eastAsia="Calibri" w:cs="Times New Roman"/>
          <w:b/>
          <w:sz w:val="22"/>
          <w:szCs w:val="22"/>
        </w:rPr>
        <w:t>11. Calificaciones otorgadas</w:t>
      </w:r>
    </w:p>
    <w:p w14:paraId="79C72AF3" w14:textId="77777777" w:rsidR="002B0869" w:rsidRDefault="002B0869" w:rsidP="002B0869">
      <w:pPr>
        <w:spacing w:before="0" w:after="0"/>
        <w:rPr>
          <w:rFonts w:eastAsia="Calibri" w:cs="Times New Roman"/>
          <w:b/>
          <w:sz w:val="22"/>
          <w:szCs w:val="22"/>
        </w:rPr>
      </w:pPr>
    </w:p>
    <w:p w14:paraId="68C7B013"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FITCH RATINGS.</w:t>
      </w:r>
    </w:p>
    <w:p w14:paraId="4FBAB639" w14:textId="77777777" w:rsidR="002B0869" w:rsidRPr="0094120C" w:rsidRDefault="002B0869" w:rsidP="002B0869">
      <w:pPr>
        <w:spacing w:before="0" w:after="0"/>
        <w:rPr>
          <w:rFonts w:eastAsia="Calibri" w:cs="Times New Roman"/>
          <w:bCs/>
          <w:sz w:val="22"/>
          <w:szCs w:val="22"/>
          <w:lang w:val="es-MX"/>
        </w:rPr>
      </w:pPr>
      <w:r w:rsidRPr="0094120C">
        <w:rPr>
          <w:rFonts w:eastAsia="Calibri" w:cs="Times New Roman"/>
          <w:bCs/>
          <w:sz w:val="22"/>
          <w:szCs w:val="22"/>
          <w:lang w:val="es-MX"/>
        </w:rPr>
        <w:t xml:space="preserve">La calificadora </w:t>
      </w:r>
      <w:proofErr w:type="spellStart"/>
      <w:r w:rsidRPr="0094120C">
        <w:rPr>
          <w:rFonts w:eastAsia="Calibri" w:cs="Times New Roman"/>
          <w:bCs/>
          <w:sz w:val="22"/>
          <w:szCs w:val="22"/>
          <w:lang w:val="es-MX"/>
        </w:rPr>
        <w:t>Fitch</w:t>
      </w:r>
      <w:proofErr w:type="spellEnd"/>
      <w:r w:rsidRPr="0094120C">
        <w:rPr>
          <w:rFonts w:eastAsia="Calibri" w:cs="Times New Roman"/>
          <w:bCs/>
          <w:sz w:val="22"/>
          <w:szCs w:val="22"/>
          <w:lang w:val="es-MX"/>
        </w:rPr>
        <w:t xml:space="preserve"> Ratings reafirmó el 24 de julio de 2025 la calificación nacional de ‘AA-(</w:t>
      </w:r>
      <w:proofErr w:type="spellStart"/>
      <w:r w:rsidRPr="0094120C">
        <w:rPr>
          <w:rFonts w:eastAsia="Calibri" w:cs="Times New Roman"/>
          <w:bCs/>
          <w:sz w:val="22"/>
          <w:szCs w:val="22"/>
          <w:lang w:val="es-MX"/>
        </w:rPr>
        <w:t>mex</w:t>
      </w:r>
      <w:proofErr w:type="spellEnd"/>
      <w:proofErr w:type="gramStart"/>
      <w:r w:rsidRPr="0094120C">
        <w:rPr>
          <w:rFonts w:eastAsia="Calibri" w:cs="Times New Roman"/>
          <w:bCs/>
          <w:sz w:val="22"/>
          <w:szCs w:val="22"/>
          <w:lang w:val="es-MX"/>
        </w:rPr>
        <w:t>)</w:t>
      </w:r>
      <w:proofErr w:type="spellStart"/>
      <w:r w:rsidRPr="0094120C">
        <w:rPr>
          <w:rFonts w:eastAsia="Calibri" w:cs="Times New Roman"/>
          <w:bCs/>
          <w:sz w:val="22"/>
          <w:szCs w:val="22"/>
          <w:lang w:val="es-MX"/>
        </w:rPr>
        <w:t>vra</w:t>
      </w:r>
      <w:proofErr w:type="spellEnd"/>
      <w:r w:rsidRPr="0094120C">
        <w:rPr>
          <w:rFonts w:eastAsia="Calibri" w:cs="Times New Roman"/>
          <w:bCs/>
          <w:sz w:val="22"/>
          <w:szCs w:val="22"/>
          <w:lang w:val="es-MX"/>
        </w:rPr>
        <w:t>’</w:t>
      </w:r>
      <w:proofErr w:type="gramEnd"/>
      <w:r w:rsidRPr="0094120C">
        <w:rPr>
          <w:rFonts w:eastAsia="Calibri" w:cs="Times New Roman"/>
          <w:bCs/>
          <w:sz w:val="22"/>
          <w:szCs w:val="22"/>
          <w:lang w:val="es-MX"/>
        </w:rPr>
        <w:t xml:space="preserve"> para siete créditos bancarios contratados por el Estado de Michoacán con instituciones de banca comercial y de desarrollo, todos con plazo de 20 años y pagos mensuales.</w:t>
      </w:r>
    </w:p>
    <w:p w14:paraId="48ED8312" w14:textId="77777777" w:rsidR="002B0869" w:rsidRPr="0094120C" w:rsidRDefault="002B0869" w:rsidP="002B0869">
      <w:pPr>
        <w:spacing w:before="0" w:after="0"/>
        <w:rPr>
          <w:rFonts w:eastAsia="Calibri" w:cs="Times New Roman"/>
          <w:bCs/>
          <w:sz w:val="22"/>
          <w:szCs w:val="22"/>
          <w:lang w:val="es-MX"/>
        </w:rPr>
      </w:pPr>
    </w:p>
    <w:p w14:paraId="5ACA25A0" w14:textId="77777777" w:rsidR="002B0869" w:rsidRPr="0094120C" w:rsidRDefault="002B0869" w:rsidP="002B0869">
      <w:pPr>
        <w:spacing w:before="0" w:after="0"/>
        <w:rPr>
          <w:rFonts w:eastAsia="Calibri" w:cs="Times New Roman"/>
          <w:bCs/>
          <w:sz w:val="22"/>
          <w:szCs w:val="22"/>
          <w:lang w:val="es-MX"/>
        </w:rPr>
      </w:pPr>
      <w:r w:rsidRPr="0094120C">
        <w:rPr>
          <w:rFonts w:eastAsia="Calibri" w:cs="Times New Roman"/>
          <w:bCs/>
          <w:sz w:val="22"/>
          <w:szCs w:val="22"/>
          <w:lang w:val="es-MX"/>
        </w:rPr>
        <w:t>Seis de los financiamientos tienen como fuente de pago el Fondo General de Participaciones (FGP), mientras que uno se respalda con el Fondo de Aportaciones para el Fortalecimiento de las Entidades Federativas (FAFEF).</w:t>
      </w:r>
    </w:p>
    <w:p w14:paraId="18124E08" w14:textId="77777777" w:rsidR="002B0869" w:rsidRDefault="002B0869" w:rsidP="002B0869">
      <w:pPr>
        <w:spacing w:before="0" w:after="0"/>
        <w:rPr>
          <w:rFonts w:eastAsia="Calibri" w:cs="Times New Roman"/>
          <w:bCs/>
          <w:sz w:val="22"/>
          <w:szCs w:val="22"/>
          <w:lang w:val="es-MX"/>
        </w:rPr>
      </w:pPr>
      <w:r w:rsidRPr="0094120C">
        <w:rPr>
          <w:rFonts w:eastAsia="Calibri" w:cs="Times New Roman"/>
          <w:bCs/>
          <w:sz w:val="22"/>
          <w:szCs w:val="22"/>
          <w:lang w:val="es-MX"/>
        </w:rPr>
        <w:t>La calificación otorgada se fundamenta en la evaluación del riesgo emisor del Estado [BBB</w:t>
      </w:r>
      <w:proofErr w:type="gramStart"/>
      <w:r w:rsidRPr="0094120C">
        <w:rPr>
          <w:rFonts w:eastAsia="Calibri" w:cs="Times New Roman"/>
          <w:bCs/>
          <w:sz w:val="22"/>
          <w:szCs w:val="22"/>
          <w:lang w:val="es-MX"/>
        </w:rPr>
        <w:t>+(</w:t>
      </w:r>
      <w:proofErr w:type="spellStart"/>
      <w:proofErr w:type="gramEnd"/>
      <w:r w:rsidRPr="0094120C">
        <w:rPr>
          <w:rFonts w:eastAsia="Calibri" w:cs="Times New Roman"/>
          <w:bCs/>
          <w:sz w:val="22"/>
          <w:szCs w:val="22"/>
          <w:lang w:val="es-MX"/>
        </w:rPr>
        <w:t>mex</w:t>
      </w:r>
      <w:proofErr w:type="spellEnd"/>
      <w:r w:rsidRPr="0094120C">
        <w:rPr>
          <w:rFonts w:eastAsia="Calibri" w:cs="Times New Roman"/>
          <w:bCs/>
          <w:sz w:val="22"/>
          <w:szCs w:val="22"/>
          <w:lang w:val="es-MX"/>
        </w:rPr>
        <w:t xml:space="preserve">), Perspectiva Estable], así como en los Factores Clave de Calificación (FCC), los cuales </w:t>
      </w:r>
      <w:proofErr w:type="spellStart"/>
      <w:r w:rsidRPr="0094120C">
        <w:rPr>
          <w:rFonts w:eastAsia="Calibri" w:cs="Times New Roman"/>
          <w:bCs/>
          <w:sz w:val="22"/>
          <w:szCs w:val="22"/>
          <w:lang w:val="es-MX"/>
        </w:rPr>
        <w:t>Fitch</w:t>
      </w:r>
      <w:proofErr w:type="spellEnd"/>
      <w:r w:rsidRPr="0094120C">
        <w:rPr>
          <w:rFonts w:eastAsia="Calibri" w:cs="Times New Roman"/>
          <w:bCs/>
          <w:sz w:val="22"/>
          <w:szCs w:val="22"/>
          <w:lang w:val="es-MX"/>
        </w:rPr>
        <w:t xml:space="preserve"> valora mayoritariamente en el rango de “Más Fuerte”, permitiendo ubicar la calificación de los créditos cuatro escalones por encima de la del emisor.</w:t>
      </w:r>
    </w:p>
    <w:p w14:paraId="114859C2" w14:textId="77777777" w:rsidR="002B0869" w:rsidRPr="0094120C" w:rsidRDefault="002B0869" w:rsidP="002B0869">
      <w:pPr>
        <w:spacing w:before="0" w:after="0"/>
        <w:rPr>
          <w:rFonts w:eastAsia="Calibri" w:cs="Times New Roman"/>
          <w:bCs/>
          <w:sz w:val="22"/>
          <w:szCs w:val="22"/>
          <w:lang w:val="es-MX"/>
        </w:rPr>
      </w:pPr>
    </w:p>
    <w:p w14:paraId="1FA81A94" w14:textId="77777777" w:rsidR="002B0869" w:rsidRPr="0094120C" w:rsidRDefault="002B0869" w:rsidP="002B0869">
      <w:pPr>
        <w:spacing w:before="0" w:after="0"/>
        <w:rPr>
          <w:rFonts w:eastAsia="Calibri" w:cs="Times New Roman"/>
          <w:bCs/>
          <w:sz w:val="22"/>
          <w:szCs w:val="22"/>
          <w:lang w:val="es-MX"/>
        </w:rPr>
      </w:pPr>
      <w:r w:rsidRPr="0094120C">
        <w:rPr>
          <w:rFonts w:eastAsia="Calibri" w:cs="Times New Roman"/>
          <w:bCs/>
          <w:sz w:val="22"/>
          <w:szCs w:val="22"/>
          <w:lang w:val="es-MX"/>
        </w:rPr>
        <w:t>Entre los elementos destacados se encuentran:</w:t>
      </w:r>
    </w:p>
    <w:p w14:paraId="0F1074F6" w14:textId="77777777" w:rsidR="002B0869" w:rsidRPr="0094120C" w:rsidRDefault="002B0869" w:rsidP="002B0869">
      <w:pPr>
        <w:numPr>
          <w:ilvl w:val="0"/>
          <w:numId w:val="35"/>
        </w:numPr>
        <w:spacing w:before="0" w:after="0"/>
        <w:rPr>
          <w:rFonts w:eastAsia="Calibri" w:cs="Times New Roman"/>
          <w:bCs/>
          <w:sz w:val="22"/>
          <w:szCs w:val="22"/>
          <w:lang w:val="es-MX"/>
        </w:rPr>
      </w:pPr>
      <w:r w:rsidRPr="0094120C">
        <w:rPr>
          <w:rFonts w:eastAsia="Calibri" w:cs="Times New Roman"/>
          <w:bCs/>
          <w:sz w:val="22"/>
          <w:szCs w:val="22"/>
          <w:lang w:val="es-MX"/>
        </w:rPr>
        <w:lastRenderedPageBreak/>
        <w:t>Desempeño de activos: El comportamiento del FGP y FAFEF es sólido, estable y predecible, con fórmulas de distribución definidas en el Presupuesto de Egresos de la Federación.</w:t>
      </w:r>
    </w:p>
    <w:p w14:paraId="0563C901" w14:textId="77777777" w:rsidR="002B0869" w:rsidRPr="0094120C" w:rsidRDefault="002B0869" w:rsidP="002B0869">
      <w:pPr>
        <w:numPr>
          <w:ilvl w:val="0"/>
          <w:numId w:val="35"/>
        </w:numPr>
        <w:spacing w:before="0" w:after="0"/>
        <w:rPr>
          <w:rFonts w:eastAsia="Calibri" w:cs="Times New Roman"/>
          <w:bCs/>
          <w:sz w:val="22"/>
          <w:szCs w:val="22"/>
          <w:lang w:val="es-MX"/>
        </w:rPr>
      </w:pPr>
      <w:r w:rsidRPr="0094120C">
        <w:rPr>
          <w:rFonts w:eastAsia="Calibri" w:cs="Times New Roman"/>
          <w:bCs/>
          <w:sz w:val="22"/>
          <w:szCs w:val="22"/>
          <w:lang w:val="es-MX"/>
        </w:rPr>
        <w:t>Riesgo de tasa de interés: Evaluado en rango “Más Fuerte”, dada la estructura financiera de los créditos.</w:t>
      </w:r>
    </w:p>
    <w:p w14:paraId="6022D15A" w14:textId="77777777" w:rsidR="002B0869" w:rsidRPr="0094120C" w:rsidRDefault="002B0869" w:rsidP="002B0869">
      <w:pPr>
        <w:numPr>
          <w:ilvl w:val="0"/>
          <w:numId w:val="35"/>
        </w:numPr>
        <w:spacing w:before="0" w:after="0"/>
        <w:rPr>
          <w:rFonts w:eastAsia="Calibri" w:cs="Times New Roman"/>
          <w:bCs/>
          <w:sz w:val="22"/>
          <w:szCs w:val="22"/>
          <w:lang w:val="es-MX"/>
        </w:rPr>
      </w:pPr>
      <w:r w:rsidRPr="0094120C">
        <w:rPr>
          <w:rFonts w:eastAsia="Calibri" w:cs="Times New Roman"/>
          <w:bCs/>
          <w:sz w:val="22"/>
          <w:szCs w:val="22"/>
          <w:lang w:val="es-MX"/>
        </w:rPr>
        <w:t xml:space="preserve">Fondo de reserva y cobertura de deuda: Ambos se mantienen en rango “Medio”, conforme a los criterios metodológicos de </w:t>
      </w:r>
      <w:proofErr w:type="spellStart"/>
      <w:r w:rsidRPr="0094120C">
        <w:rPr>
          <w:rFonts w:eastAsia="Calibri" w:cs="Times New Roman"/>
          <w:bCs/>
          <w:sz w:val="22"/>
          <w:szCs w:val="22"/>
          <w:lang w:val="es-MX"/>
        </w:rPr>
        <w:t>Fitch</w:t>
      </w:r>
      <w:proofErr w:type="spellEnd"/>
      <w:r w:rsidRPr="0094120C">
        <w:rPr>
          <w:rFonts w:eastAsia="Calibri" w:cs="Times New Roman"/>
          <w:bCs/>
          <w:sz w:val="22"/>
          <w:szCs w:val="22"/>
          <w:lang w:val="es-MX"/>
        </w:rPr>
        <w:t>.</w:t>
      </w:r>
    </w:p>
    <w:p w14:paraId="32C6470F" w14:textId="77777777" w:rsidR="002B0869" w:rsidRDefault="002B0869" w:rsidP="002B0869">
      <w:pPr>
        <w:spacing w:before="0" w:after="0"/>
        <w:rPr>
          <w:rFonts w:eastAsia="Calibri" w:cs="Times New Roman"/>
          <w:bCs/>
          <w:sz w:val="22"/>
          <w:szCs w:val="22"/>
          <w:lang w:val="es-MX"/>
        </w:rPr>
      </w:pPr>
    </w:p>
    <w:p w14:paraId="7BA0CA5C" w14:textId="77777777" w:rsidR="002B0869" w:rsidRPr="0094120C" w:rsidRDefault="002B0869" w:rsidP="002B0869">
      <w:pPr>
        <w:spacing w:before="0" w:after="0"/>
        <w:rPr>
          <w:rFonts w:eastAsia="Calibri" w:cs="Times New Roman"/>
          <w:bCs/>
          <w:sz w:val="22"/>
          <w:szCs w:val="22"/>
          <w:lang w:val="es-MX"/>
        </w:rPr>
      </w:pPr>
      <w:r w:rsidRPr="0094120C">
        <w:rPr>
          <w:rFonts w:eastAsia="Calibri" w:cs="Times New Roman"/>
          <w:bCs/>
          <w:sz w:val="22"/>
          <w:szCs w:val="22"/>
          <w:lang w:val="es-MX"/>
        </w:rPr>
        <w:t>Esta ratificación refleja la solidez estructural de los financiamientos, así como la capacidad del Estado para cumplir con sus obligaciones bajo esquemas de pago respaldados por ingresos federales recurrentes y normativamente definidos.</w:t>
      </w:r>
    </w:p>
    <w:p w14:paraId="6280294D" w14:textId="77777777" w:rsidR="002B0869" w:rsidRPr="0094120C" w:rsidRDefault="002B0869" w:rsidP="002B0869">
      <w:pPr>
        <w:spacing w:before="0" w:after="0"/>
        <w:rPr>
          <w:rFonts w:eastAsia="Calibri" w:cs="Times New Roman"/>
          <w:bCs/>
          <w:sz w:val="22"/>
          <w:szCs w:val="22"/>
        </w:rPr>
      </w:pPr>
      <w:r w:rsidRPr="0094120C">
        <w:rPr>
          <w:rFonts w:eastAsia="Calibri" w:cs="Times New Roman"/>
          <w:bCs/>
          <w:sz w:val="22"/>
          <w:szCs w:val="22"/>
        </w:rPr>
        <w:t xml:space="preserve"> </w:t>
      </w:r>
    </w:p>
    <w:p w14:paraId="69BD4ECE"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HR RATINGS</w:t>
      </w:r>
    </w:p>
    <w:p w14:paraId="1E851AE4"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 xml:space="preserve">La calificadora HR Ratings ratificó el 12 de mayo de 2025 la calificación de ‘HR AAA (E)’ con Perspectiva Estable para ocho Créditos Bancarios Estructurados contratados por el Estado de Michoacán con diversas instituciones financieras, incluyendo </w:t>
      </w:r>
      <w:proofErr w:type="spellStart"/>
      <w:r w:rsidRPr="0036193B">
        <w:rPr>
          <w:rFonts w:eastAsia="Calibri" w:cs="Times New Roman"/>
          <w:bCs/>
          <w:sz w:val="22"/>
          <w:szCs w:val="22"/>
          <w:lang w:val="es-MX"/>
        </w:rPr>
        <w:t>Banobras</w:t>
      </w:r>
      <w:proofErr w:type="spellEnd"/>
      <w:r w:rsidRPr="0036193B">
        <w:rPr>
          <w:rFonts w:eastAsia="Calibri" w:cs="Times New Roman"/>
          <w:bCs/>
          <w:sz w:val="22"/>
          <w:szCs w:val="22"/>
          <w:lang w:val="es-MX"/>
        </w:rPr>
        <w:t>, Azteca, Bajío, Banorte y BBVA.</w:t>
      </w:r>
    </w:p>
    <w:p w14:paraId="73655F70" w14:textId="77777777" w:rsidR="002B0869" w:rsidRPr="0036193B" w:rsidRDefault="002B0869" w:rsidP="002B0869">
      <w:pPr>
        <w:rPr>
          <w:rFonts w:eastAsia="Calibri" w:cs="Times New Roman"/>
          <w:bCs/>
          <w:sz w:val="22"/>
          <w:szCs w:val="22"/>
          <w:lang w:val="es-MX"/>
        </w:rPr>
      </w:pPr>
    </w:p>
    <w:p w14:paraId="130B37E3"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 xml:space="preserve">Esta ratificación se sustenta en el análisis del valor de la Tasa Objetivo de Estrés (TOE), que mide la capacidad del activo </w:t>
      </w:r>
      <w:proofErr w:type="spellStart"/>
      <w:r w:rsidRPr="0036193B">
        <w:rPr>
          <w:rFonts w:eastAsia="Calibri" w:cs="Times New Roman"/>
          <w:bCs/>
          <w:sz w:val="22"/>
          <w:szCs w:val="22"/>
          <w:lang w:val="es-MX"/>
        </w:rPr>
        <w:t>fideicomitido</w:t>
      </w:r>
      <w:proofErr w:type="spellEnd"/>
      <w:r w:rsidRPr="0036193B">
        <w:rPr>
          <w:rFonts w:eastAsia="Calibri" w:cs="Times New Roman"/>
          <w:bCs/>
          <w:sz w:val="22"/>
          <w:szCs w:val="22"/>
          <w:lang w:val="es-MX"/>
        </w:rPr>
        <w:t xml:space="preserve"> para cubrir el servicio de la deuda bajo escenarios adversos. En esta revisión, las TOE se ubicaron entre 89.8% y 90.5%, mostrando una mejoría respecto a la evaluación anterior, lo que refleja una mayor solidez en la estructura de pago.</w:t>
      </w:r>
    </w:p>
    <w:p w14:paraId="306BBE08" w14:textId="77777777" w:rsidR="002B0869" w:rsidRPr="0036193B" w:rsidRDefault="002B0869" w:rsidP="002B0869">
      <w:pPr>
        <w:rPr>
          <w:rFonts w:eastAsia="Calibri" w:cs="Times New Roman"/>
          <w:bCs/>
          <w:sz w:val="22"/>
          <w:szCs w:val="22"/>
          <w:lang w:val="es-MX"/>
        </w:rPr>
      </w:pPr>
    </w:p>
    <w:p w14:paraId="30660615"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La calificación ‘HR AAA (E)’ representa el máximo nivel en la escala nacional estructurada, indicando mínimo riesgo crediticio y una alta capacidad del Estado para cumplir con sus obligaciones financieras.</w:t>
      </w:r>
    </w:p>
    <w:p w14:paraId="550430EA" w14:textId="77777777" w:rsidR="002B0869" w:rsidRPr="0036193B" w:rsidRDefault="002B0869" w:rsidP="002B0869">
      <w:pPr>
        <w:rPr>
          <w:rFonts w:eastAsia="Calibri" w:cs="Times New Roman"/>
          <w:bCs/>
          <w:sz w:val="22"/>
          <w:szCs w:val="22"/>
          <w:lang w:val="es-MX"/>
        </w:rPr>
      </w:pPr>
    </w:p>
    <w:p w14:paraId="1CD56052"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 xml:space="preserve">Esta evaluación reafirma la fortaleza de los ingresos pignorados, principalmente el Fondo General de Participaciones, así como la </w:t>
      </w:r>
      <w:r w:rsidRPr="0036193B">
        <w:rPr>
          <w:rFonts w:eastAsia="Calibri" w:cs="Times New Roman"/>
          <w:bCs/>
          <w:sz w:val="22"/>
          <w:szCs w:val="22"/>
          <w:lang w:val="es-MX"/>
        </w:rPr>
        <w:lastRenderedPageBreak/>
        <w:t>disciplina fiscal y la estabilidad estructural de los esquemas financieros implementados por el Estado.</w:t>
      </w:r>
    </w:p>
    <w:p w14:paraId="40DCDF10" w14:textId="77777777" w:rsidR="002B0869" w:rsidRDefault="002B0869" w:rsidP="002B0869">
      <w:pPr>
        <w:rPr>
          <w:rFonts w:eastAsia="Calibri" w:cs="Times New Roman"/>
          <w:bCs/>
          <w:sz w:val="22"/>
          <w:szCs w:val="22"/>
          <w:lang w:val="es-MX"/>
        </w:rPr>
      </w:pPr>
    </w:p>
    <w:p w14:paraId="74664845" w14:textId="77777777" w:rsidR="002B0869" w:rsidRPr="0036193B" w:rsidRDefault="002B0869" w:rsidP="002B0869">
      <w:pPr>
        <w:rPr>
          <w:rFonts w:eastAsia="Calibri" w:cs="Times New Roman"/>
          <w:b/>
          <w:sz w:val="22"/>
          <w:szCs w:val="22"/>
        </w:rPr>
      </w:pPr>
      <w:r w:rsidRPr="0036193B">
        <w:rPr>
          <w:rFonts w:eastAsia="Calibri" w:cs="Times New Roman"/>
          <w:b/>
          <w:sz w:val="22"/>
          <w:szCs w:val="22"/>
        </w:rPr>
        <w:t>MOODY’S LOCAL</w:t>
      </w:r>
    </w:p>
    <w:p w14:paraId="12EF68A5"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 xml:space="preserve">El pasado 14 de julio de 2025, la agencia calificadora </w:t>
      </w:r>
      <w:proofErr w:type="spellStart"/>
      <w:r w:rsidRPr="0036193B">
        <w:rPr>
          <w:rFonts w:eastAsia="Calibri" w:cs="Times New Roman"/>
          <w:bCs/>
          <w:sz w:val="22"/>
          <w:szCs w:val="22"/>
          <w:lang w:val="es-MX"/>
        </w:rPr>
        <w:t>Moody’s</w:t>
      </w:r>
      <w:proofErr w:type="spellEnd"/>
      <w:r w:rsidRPr="0036193B">
        <w:rPr>
          <w:rFonts w:eastAsia="Calibri" w:cs="Times New Roman"/>
          <w:bCs/>
          <w:sz w:val="22"/>
          <w:szCs w:val="22"/>
          <w:lang w:val="es-MX"/>
        </w:rPr>
        <w:t xml:space="preserve"> Local México ratificó la calificación de emisor ‘BBB+.mx’ con perspectiva estable, así como la calificación de deuda ‘AAA.mx’ para el Estado de Michoacán.</w:t>
      </w:r>
    </w:p>
    <w:p w14:paraId="058E32E0" w14:textId="77777777" w:rsidR="002B0869" w:rsidRPr="0036193B" w:rsidRDefault="002B0869" w:rsidP="002B0869">
      <w:pPr>
        <w:rPr>
          <w:rFonts w:eastAsia="Calibri" w:cs="Times New Roman"/>
          <w:bCs/>
          <w:sz w:val="22"/>
          <w:szCs w:val="22"/>
          <w:lang w:val="es-MX"/>
        </w:rPr>
      </w:pPr>
    </w:p>
    <w:p w14:paraId="3B425FF1"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Esta acción forma parte de la revisión anual regulatoria que realiza la calificadora, en la cual se evaluó el posicionamiento del Estado conforme a su metodología para gobiernos locales, regionales y federales, así como para créditos respaldados.</w:t>
      </w:r>
    </w:p>
    <w:p w14:paraId="7C676C9A" w14:textId="77777777" w:rsidR="002B0869" w:rsidRPr="0036193B" w:rsidRDefault="002B0869" w:rsidP="002B0869">
      <w:pPr>
        <w:rPr>
          <w:rFonts w:eastAsia="Calibri" w:cs="Times New Roman"/>
          <w:bCs/>
          <w:sz w:val="22"/>
          <w:szCs w:val="22"/>
          <w:lang w:val="es-MX"/>
        </w:rPr>
      </w:pPr>
    </w:p>
    <w:p w14:paraId="26BE37CC" w14:textId="77777777" w:rsidR="002B0869" w:rsidRPr="0036193B" w:rsidRDefault="002B0869" w:rsidP="002B0869">
      <w:pPr>
        <w:rPr>
          <w:rFonts w:eastAsia="Calibri" w:cs="Times New Roman"/>
          <w:bCs/>
          <w:sz w:val="22"/>
          <w:szCs w:val="22"/>
          <w:lang w:val="es-MX"/>
        </w:rPr>
      </w:pPr>
      <w:r w:rsidRPr="0036193B">
        <w:rPr>
          <w:rFonts w:eastAsia="Calibri" w:cs="Times New Roman"/>
          <w:bCs/>
          <w:sz w:val="22"/>
          <w:szCs w:val="22"/>
          <w:lang w:val="es-MX"/>
        </w:rPr>
        <w:t>La ratificación se sustenta en los siguientes elementos:</w:t>
      </w:r>
    </w:p>
    <w:p w14:paraId="6A6F5DA8" w14:textId="77777777" w:rsidR="002B0869" w:rsidRPr="0036193B" w:rsidRDefault="002B0869" w:rsidP="002B0869">
      <w:pPr>
        <w:numPr>
          <w:ilvl w:val="0"/>
          <w:numId w:val="36"/>
        </w:numPr>
        <w:rPr>
          <w:rFonts w:eastAsia="Calibri" w:cs="Times New Roman"/>
          <w:bCs/>
          <w:sz w:val="22"/>
          <w:szCs w:val="22"/>
          <w:lang w:val="es-MX"/>
        </w:rPr>
      </w:pPr>
      <w:r w:rsidRPr="0036193B">
        <w:rPr>
          <w:rFonts w:eastAsia="Calibri" w:cs="Times New Roman"/>
          <w:bCs/>
          <w:sz w:val="22"/>
          <w:szCs w:val="22"/>
          <w:lang w:val="es-MX"/>
        </w:rPr>
        <w:t>Márgenes operativos y financieros equilibrados, que reflejan una gestión fiscal prudente.</w:t>
      </w:r>
    </w:p>
    <w:p w14:paraId="4D68D9FC" w14:textId="77777777" w:rsidR="002B0869" w:rsidRPr="0036193B" w:rsidRDefault="002B0869" w:rsidP="002B0869">
      <w:pPr>
        <w:numPr>
          <w:ilvl w:val="0"/>
          <w:numId w:val="36"/>
        </w:numPr>
        <w:rPr>
          <w:rFonts w:eastAsia="Calibri" w:cs="Times New Roman"/>
          <w:bCs/>
          <w:sz w:val="22"/>
          <w:szCs w:val="22"/>
          <w:lang w:val="es-MX"/>
        </w:rPr>
      </w:pPr>
      <w:r w:rsidRPr="0036193B">
        <w:rPr>
          <w:rFonts w:eastAsia="Calibri" w:cs="Times New Roman"/>
          <w:bCs/>
          <w:sz w:val="22"/>
          <w:szCs w:val="22"/>
          <w:lang w:val="es-MX"/>
        </w:rPr>
        <w:t>Endeudamiento moderado, con niveles de deuda sostenibles en el mediano plazo.</w:t>
      </w:r>
    </w:p>
    <w:p w14:paraId="4A7F7E39" w14:textId="77777777" w:rsidR="002B0869" w:rsidRPr="0036193B" w:rsidRDefault="002B0869" w:rsidP="002B0869">
      <w:pPr>
        <w:numPr>
          <w:ilvl w:val="0"/>
          <w:numId w:val="36"/>
        </w:numPr>
        <w:rPr>
          <w:rFonts w:eastAsia="Calibri" w:cs="Times New Roman"/>
          <w:bCs/>
          <w:sz w:val="22"/>
          <w:szCs w:val="22"/>
          <w:lang w:val="es-MX"/>
        </w:rPr>
      </w:pPr>
      <w:r w:rsidRPr="0036193B">
        <w:rPr>
          <w:rFonts w:eastAsia="Calibri" w:cs="Times New Roman"/>
          <w:bCs/>
          <w:sz w:val="22"/>
          <w:szCs w:val="22"/>
          <w:lang w:val="es-MX"/>
        </w:rPr>
        <w:t>Coberturas sólidas en escenarios base y de estrés, conforme a los contratos de deuda vigentes.</w:t>
      </w:r>
    </w:p>
    <w:p w14:paraId="181A3D35" w14:textId="77777777" w:rsidR="002B0869" w:rsidRPr="0036193B" w:rsidRDefault="002B0869" w:rsidP="002B0869">
      <w:pPr>
        <w:numPr>
          <w:ilvl w:val="0"/>
          <w:numId w:val="36"/>
        </w:numPr>
        <w:rPr>
          <w:rFonts w:eastAsia="Calibri" w:cs="Times New Roman"/>
          <w:bCs/>
          <w:sz w:val="22"/>
          <w:szCs w:val="22"/>
          <w:lang w:val="es-MX"/>
        </w:rPr>
      </w:pPr>
      <w:r w:rsidRPr="0036193B">
        <w:rPr>
          <w:rFonts w:eastAsia="Calibri" w:cs="Times New Roman"/>
          <w:bCs/>
          <w:sz w:val="22"/>
          <w:szCs w:val="22"/>
          <w:lang w:val="es-MX"/>
        </w:rPr>
        <w:t>Uso de deuda de corto plazo por niveles bajos de liquidez, sin comprometer la estabilidad financiera.</w:t>
      </w:r>
    </w:p>
    <w:p w14:paraId="41AACE54" w14:textId="77777777" w:rsidR="002B0869" w:rsidRDefault="002B0869" w:rsidP="002B0869">
      <w:pPr>
        <w:spacing w:before="0"/>
        <w:rPr>
          <w:rFonts w:eastAsia="Calibri" w:cs="Times New Roman"/>
          <w:bCs/>
          <w:sz w:val="22"/>
          <w:szCs w:val="22"/>
          <w:lang w:val="es-MX"/>
        </w:rPr>
      </w:pPr>
    </w:p>
    <w:p w14:paraId="50BA4F92" w14:textId="77777777" w:rsidR="002B0869" w:rsidRPr="0036193B" w:rsidRDefault="002B0869" w:rsidP="002B0869">
      <w:pPr>
        <w:spacing w:before="0"/>
        <w:rPr>
          <w:rFonts w:eastAsia="Calibri" w:cs="Times New Roman"/>
          <w:bCs/>
          <w:sz w:val="22"/>
          <w:szCs w:val="22"/>
          <w:lang w:val="es-MX"/>
        </w:rPr>
      </w:pPr>
      <w:r w:rsidRPr="0036193B">
        <w:rPr>
          <w:rFonts w:eastAsia="Calibri" w:cs="Times New Roman"/>
          <w:bCs/>
          <w:sz w:val="22"/>
          <w:szCs w:val="22"/>
          <w:lang w:val="es-MX"/>
        </w:rPr>
        <w:t>La calificación ‘AAA.mx’ en los instrumentos de deuda refleja las mejoras crediticias contractuales y la fortaleza de los ingresos pignorados, lo que permite mantener el máximo nivel en la escala nacional.</w:t>
      </w:r>
    </w:p>
    <w:p w14:paraId="168B72D4" w14:textId="77777777" w:rsidR="002B0869" w:rsidRDefault="002B0869" w:rsidP="002B0869">
      <w:pPr>
        <w:rPr>
          <w:rFonts w:eastAsia="Calibri" w:cs="Times New Roman"/>
          <w:bCs/>
          <w:sz w:val="22"/>
          <w:szCs w:val="22"/>
          <w:lang w:val="es-MX"/>
        </w:rPr>
      </w:pPr>
      <w:r w:rsidRPr="0036193B">
        <w:rPr>
          <w:rFonts w:eastAsia="Calibri" w:cs="Times New Roman"/>
          <w:bCs/>
          <w:sz w:val="22"/>
          <w:szCs w:val="22"/>
          <w:lang w:val="es-MX"/>
        </w:rPr>
        <w:t>Esta evaluación reafirma la confianza en la posición fiscal del Estado, así como en su capacidad para cumplir con sus obligaciones financieras bajo esquemas estructurados y normativamente respaldados.</w:t>
      </w:r>
    </w:p>
    <w:p w14:paraId="7EC0D9DF" w14:textId="77777777" w:rsidR="002B0869" w:rsidRDefault="002B0869" w:rsidP="002B0869">
      <w:pPr>
        <w:spacing w:before="0" w:after="0"/>
        <w:rPr>
          <w:rFonts w:eastAsia="Calibri" w:cs="Times New Roman"/>
          <w:bCs/>
          <w:sz w:val="22"/>
          <w:szCs w:val="22"/>
        </w:rPr>
      </w:pPr>
    </w:p>
    <w:p w14:paraId="47733C51" w14:textId="77777777" w:rsidR="002B0869" w:rsidRPr="005D257C" w:rsidRDefault="002B0869" w:rsidP="002B0869">
      <w:pPr>
        <w:spacing w:before="0" w:after="0"/>
        <w:rPr>
          <w:rFonts w:eastAsia="Calibri" w:cs="Times New Roman"/>
          <w:b/>
          <w:sz w:val="22"/>
          <w:szCs w:val="22"/>
        </w:rPr>
      </w:pPr>
      <w:r w:rsidRPr="005D257C">
        <w:rPr>
          <w:rFonts w:eastAsia="Calibri" w:cs="Times New Roman"/>
          <w:b/>
          <w:sz w:val="22"/>
          <w:szCs w:val="22"/>
        </w:rPr>
        <w:t>12. Procesos de Mejora</w:t>
      </w:r>
    </w:p>
    <w:p w14:paraId="2ADDD674"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a) Principales políticas de control interno</w:t>
      </w:r>
    </w:p>
    <w:p w14:paraId="1B78F09E" w14:textId="77777777" w:rsidR="002B0869" w:rsidRPr="004F06F2" w:rsidRDefault="002B0869" w:rsidP="002B0869">
      <w:pPr>
        <w:spacing w:before="0" w:after="0"/>
        <w:rPr>
          <w:rFonts w:eastAsia="Calibri" w:cs="Times New Roman"/>
          <w:bCs/>
          <w:sz w:val="22"/>
          <w:szCs w:val="22"/>
        </w:rPr>
      </w:pPr>
    </w:p>
    <w:p w14:paraId="09B39406"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En 2017, con la entrada en vigor del Sistema Nacional Anticorrupción se crea el Sistema Nacional de Fiscalización (SNF) cuyo objetivo entre otros es homologar la normativa en materia de control Interno que se aplica en los tres órdenes de gobierno.</w:t>
      </w:r>
    </w:p>
    <w:p w14:paraId="49426D9D" w14:textId="77777777" w:rsidR="002B0869" w:rsidRPr="004F06F2" w:rsidRDefault="002B0869" w:rsidP="002B0869">
      <w:pPr>
        <w:spacing w:before="0" w:after="0"/>
        <w:rPr>
          <w:rFonts w:eastAsia="Calibri" w:cs="Times New Roman"/>
          <w:bCs/>
          <w:sz w:val="22"/>
          <w:szCs w:val="22"/>
        </w:rPr>
      </w:pPr>
    </w:p>
    <w:p w14:paraId="14740C29"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 xml:space="preserve">El 21 de diciembre de 2020 se publicó en el </w:t>
      </w:r>
      <w:r w:rsidRPr="00CB6194">
        <w:rPr>
          <w:rFonts w:eastAsia="Calibri" w:cs="Times New Roman"/>
          <w:bCs/>
          <w:sz w:val="22"/>
          <w:szCs w:val="22"/>
        </w:rPr>
        <w:t>Periódico Oficial del Gobierno constitucional del Estado de Michoacán,</w:t>
      </w:r>
      <w:r w:rsidRPr="004F06F2">
        <w:rPr>
          <w:rFonts w:eastAsia="Calibri" w:cs="Times New Roman"/>
          <w:bCs/>
          <w:sz w:val="22"/>
          <w:szCs w:val="22"/>
        </w:rPr>
        <w:t xml:space="preserve"> el Acuerdo por el que se emiten las Normas de Aplicación General en Materia de Control Interno para la Administración Pública del Estado de Michoacán de Ocampo.</w:t>
      </w:r>
    </w:p>
    <w:p w14:paraId="4303387E" w14:textId="77777777" w:rsidR="002B0869" w:rsidRPr="004F06F2" w:rsidRDefault="002B0869" w:rsidP="002B0869">
      <w:pPr>
        <w:spacing w:before="0" w:after="0"/>
        <w:rPr>
          <w:rFonts w:eastAsia="Calibri" w:cs="Times New Roman"/>
          <w:bCs/>
          <w:sz w:val="22"/>
          <w:szCs w:val="22"/>
        </w:rPr>
      </w:pPr>
    </w:p>
    <w:p w14:paraId="6D9B0B11"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Lo anterior es un proceso llevado a cabo por el nivel Directivo de las Dependencias, Coordinaciones o Entidades, diseñado con el objeto de proporcionar un grado de seguridad razonable en cuanto a la consecución de los objetivos relacionados con las operaciones, la información y el cumplimiento.</w:t>
      </w:r>
    </w:p>
    <w:p w14:paraId="70048E73" w14:textId="77777777" w:rsidR="002B0869" w:rsidRPr="004F06F2" w:rsidRDefault="002B0869" w:rsidP="002B0869">
      <w:pPr>
        <w:spacing w:before="0" w:after="0"/>
        <w:rPr>
          <w:rFonts w:eastAsia="Calibri" w:cs="Times New Roman"/>
          <w:bCs/>
          <w:sz w:val="22"/>
          <w:szCs w:val="22"/>
        </w:rPr>
      </w:pPr>
    </w:p>
    <w:p w14:paraId="79D9B49B"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En 2022 se llevó a cabo el trabajo de elaboración de una matriz de riesgos, identificando la probabilidad de que un evento o acción adversa pueda ocurrir, y su impacto afecte negativamente en el logro de objetivos y metas, así como las circunstancias, causa o situación interna o externa que aumente la probabilidad de que un riesgo se materialice, para poder identificar estrategias y áreas de oportunidad en la Institución, considerando las etapas de la metodología de administración de riegos.</w:t>
      </w:r>
    </w:p>
    <w:p w14:paraId="2FF28EA1" w14:textId="77777777" w:rsidR="002B0869" w:rsidRPr="004F06F2" w:rsidRDefault="002B0869" w:rsidP="002B0869">
      <w:pPr>
        <w:spacing w:before="0" w:after="0"/>
        <w:rPr>
          <w:rFonts w:eastAsia="Calibri" w:cs="Times New Roman"/>
          <w:bCs/>
          <w:sz w:val="22"/>
          <w:szCs w:val="22"/>
        </w:rPr>
      </w:pPr>
    </w:p>
    <w:p w14:paraId="075674C2"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De esta manera se identificaron riesgos tanto humanos como financieros, presupuestales, técnicos, administrativos, de tecnologías de la información, normativos y del entorno, los cuales se clasificaron por su probabilidad de ocurrencia de la siguiente manera:</w:t>
      </w:r>
    </w:p>
    <w:p w14:paraId="1AC9E7C8" w14:textId="77777777" w:rsidR="002B0869" w:rsidRPr="004F06F2" w:rsidRDefault="002B0869" w:rsidP="002B0869">
      <w:pPr>
        <w:spacing w:before="0" w:after="0"/>
        <w:jc w:val="center"/>
        <w:rPr>
          <w:rFonts w:eastAsia="Calibri" w:cs="Times New Roman"/>
          <w:bCs/>
          <w:sz w:val="22"/>
          <w:szCs w:val="22"/>
        </w:rPr>
      </w:pPr>
      <w:r w:rsidRPr="004F06F2">
        <w:rPr>
          <w:rFonts w:eastAsia="Calibri" w:cs="Times New Roman"/>
          <w:bCs/>
          <w:noProof/>
          <w:sz w:val="22"/>
          <w:szCs w:val="22"/>
          <w:lang w:val="es-MX" w:eastAsia="es-MX"/>
        </w:rPr>
        <w:lastRenderedPageBreak/>
        <w:drawing>
          <wp:inline distT="0" distB="0" distL="0" distR="0" wp14:anchorId="0A8D66C1" wp14:editId="6DABB35B">
            <wp:extent cx="2581275" cy="1650549"/>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8115" cy="1661317"/>
                    </a:xfrm>
                    <a:prstGeom prst="rect">
                      <a:avLst/>
                    </a:prstGeom>
                    <a:noFill/>
                  </pic:spPr>
                </pic:pic>
              </a:graphicData>
            </a:graphic>
          </wp:inline>
        </w:drawing>
      </w:r>
    </w:p>
    <w:p w14:paraId="4ECDAB10"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Una vez clasificados los riesgos, se define la estrategia de atención como sigue:</w:t>
      </w:r>
    </w:p>
    <w:p w14:paraId="4328629F" w14:textId="77777777" w:rsidR="002B0869" w:rsidRPr="004F06F2" w:rsidRDefault="002B0869" w:rsidP="002B0869">
      <w:pPr>
        <w:spacing w:before="0" w:after="0"/>
        <w:rPr>
          <w:rFonts w:eastAsia="Calibri" w:cs="Times New Roman"/>
          <w:bCs/>
          <w:sz w:val="22"/>
          <w:szCs w:val="22"/>
        </w:rPr>
      </w:pPr>
    </w:p>
    <w:p w14:paraId="7F5C577B"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 xml:space="preserve">1. Reducir el riesgo. Implica establecer acciones dirigidas a disminuir la probabilidad de ocurrencia (acciones de prevención) y el impacto (acciones de contingencia), tales como la optimización de los procedimientos y la implementación o mejora de controles. </w:t>
      </w:r>
    </w:p>
    <w:p w14:paraId="14951534" w14:textId="77777777" w:rsidR="002B0869" w:rsidRPr="004F06F2" w:rsidRDefault="002B0869" w:rsidP="002B0869">
      <w:pPr>
        <w:spacing w:before="0" w:after="0"/>
        <w:rPr>
          <w:rFonts w:eastAsia="Calibri" w:cs="Times New Roman"/>
          <w:bCs/>
          <w:sz w:val="22"/>
          <w:szCs w:val="22"/>
        </w:rPr>
      </w:pPr>
    </w:p>
    <w:p w14:paraId="365B27C2"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 xml:space="preserve">2. Asumir el riesgo. Se aplica cuando el riesgo se encuentra en el Cuadrante III, Riesgos Controlados de baja probabilidad de ocurrencia y grado de impacto y puede aceptarse sin necesidad de tomar otras medidas de control diferentes a las que se poseen, o cuando no se tiene opción para abatirlo y solo pueden establecerse acciones de contingencia. </w:t>
      </w:r>
    </w:p>
    <w:p w14:paraId="62111C56" w14:textId="77777777" w:rsidR="002B0869" w:rsidRPr="004F06F2" w:rsidRDefault="002B0869" w:rsidP="002B0869">
      <w:pPr>
        <w:spacing w:before="0" w:after="0"/>
        <w:rPr>
          <w:rFonts w:eastAsia="Calibri" w:cs="Times New Roman"/>
          <w:bCs/>
          <w:sz w:val="22"/>
          <w:szCs w:val="22"/>
        </w:rPr>
      </w:pPr>
    </w:p>
    <w:p w14:paraId="4578E76F"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 xml:space="preserve">3. Transferir el riesgo. Consiste en trasladar el riesgo a un externo a través de la contratación de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el cual deberá́</w:t>
      </w:r>
      <w:r>
        <w:rPr>
          <w:rFonts w:eastAsia="Calibri" w:cs="Times New Roman"/>
          <w:bCs/>
          <w:sz w:val="22"/>
          <w:szCs w:val="22"/>
        </w:rPr>
        <w:t xml:space="preserve"> </w:t>
      </w:r>
      <w:r w:rsidRPr="004F06F2">
        <w:rPr>
          <w:rFonts w:eastAsia="Calibri" w:cs="Times New Roman"/>
          <w:bCs/>
          <w:sz w:val="22"/>
          <w:szCs w:val="22"/>
        </w:rPr>
        <w:t xml:space="preserve">tener la experiencia y especialización necesaria para asumir el riesgo, así́ como sus impactos o pérdidas derivadas de su materialización </w:t>
      </w:r>
    </w:p>
    <w:p w14:paraId="4A535F25" w14:textId="77777777" w:rsidR="002B0869" w:rsidRPr="004F06F2" w:rsidRDefault="002B0869" w:rsidP="002B0869">
      <w:pPr>
        <w:spacing w:before="0" w:after="0"/>
        <w:rPr>
          <w:rFonts w:eastAsia="Calibri" w:cs="Times New Roman"/>
          <w:bCs/>
          <w:sz w:val="22"/>
          <w:szCs w:val="22"/>
        </w:rPr>
      </w:pPr>
    </w:p>
    <w:p w14:paraId="7B75F5C4"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4. Compartir el riesgo.- Se refiere a distribu</w:t>
      </w:r>
      <w:r>
        <w:rPr>
          <w:rFonts w:eastAsia="Calibri" w:cs="Times New Roman"/>
          <w:bCs/>
          <w:sz w:val="22"/>
          <w:szCs w:val="22"/>
        </w:rPr>
        <w:t xml:space="preserve">ir parcialmente el riesgo y las </w:t>
      </w:r>
      <w:r w:rsidRPr="004F06F2">
        <w:rPr>
          <w:rFonts w:eastAsia="Calibri" w:cs="Times New Roman"/>
          <w:bCs/>
          <w:sz w:val="22"/>
          <w:szCs w:val="22"/>
        </w:rPr>
        <w:t xml:space="preserve">posibles consecuencias, a efecto de segmentarlo y canalizarlo a diferentes unidades administrativas de la institución, las cuales se responsabilizaran de la parte del riesgo que les corresponda en su ámbito de competencia. </w:t>
      </w:r>
    </w:p>
    <w:p w14:paraId="77624C8C" w14:textId="77777777" w:rsidR="002B0869" w:rsidRPr="004F06F2" w:rsidRDefault="002B0869" w:rsidP="002B0869">
      <w:pPr>
        <w:spacing w:before="0" w:after="0"/>
        <w:rPr>
          <w:rFonts w:eastAsia="Calibri" w:cs="Times New Roman"/>
          <w:bCs/>
          <w:sz w:val="22"/>
          <w:szCs w:val="22"/>
        </w:rPr>
      </w:pPr>
    </w:p>
    <w:p w14:paraId="111F89E1"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lastRenderedPageBreak/>
        <w:t xml:space="preserve">5. Tolerancia al Riesgo. 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w:t>
      </w:r>
    </w:p>
    <w:p w14:paraId="01F92953" w14:textId="77777777" w:rsidR="002B0869" w:rsidRPr="004F06F2" w:rsidRDefault="002B0869" w:rsidP="002B0869">
      <w:pPr>
        <w:spacing w:before="0" w:after="0"/>
        <w:rPr>
          <w:rFonts w:eastAsia="Calibri" w:cs="Times New Roman"/>
          <w:bCs/>
          <w:sz w:val="22"/>
          <w:szCs w:val="22"/>
        </w:rPr>
      </w:pPr>
    </w:p>
    <w:p w14:paraId="4EB30B8D"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 xml:space="preserve">6.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xml:space="preserve">. La Administración conserva la responsabilidad sobre el desempeño de las actividades realizadas por los servicios </w:t>
      </w:r>
      <w:proofErr w:type="spellStart"/>
      <w:r w:rsidRPr="004F06F2">
        <w:rPr>
          <w:rFonts w:eastAsia="Calibri" w:cs="Times New Roman"/>
          <w:bCs/>
          <w:sz w:val="22"/>
          <w:szCs w:val="22"/>
        </w:rPr>
        <w:t>tercerizados</w:t>
      </w:r>
      <w:proofErr w:type="spellEnd"/>
      <w:r w:rsidRPr="004F06F2">
        <w:rPr>
          <w:rFonts w:eastAsia="Calibri" w:cs="Times New Roman"/>
          <w:bCs/>
          <w:sz w:val="22"/>
          <w:szCs w:val="22"/>
        </w:rPr>
        <w:t xml:space="preserve"> que contrate para realizar algunos procesos operativos para la institución, tales como servicios de tecnologías de información y comunicaciones, servicios de mantenimiento, servicios de seguridad o servicios de limpieza</w:t>
      </w:r>
    </w:p>
    <w:p w14:paraId="45CEF51E" w14:textId="77777777" w:rsidR="002B0869" w:rsidRPr="004F06F2" w:rsidRDefault="002B0869" w:rsidP="002B0869">
      <w:pPr>
        <w:spacing w:before="0" w:after="0"/>
        <w:rPr>
          <w:rFonts w:eastAsia="Calibri" w:cs="Times New Roman"/>
          <w:bCs/>
          <w:sz w:val="22"/>
          <w:szCs w:val="22"/>
        </w:rPr>
      </w:pPr>
    </w:p>
    <w:p w14:paraId="2F9E6906"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De esta manera se pretende avanzar en la mejora de la administración pública en cumplimiento de la normativa aplicable.</w:t>
      </w:r>
    </w:p>
    <w:p w14:paraId="6B2FDEF2" w14:textId="77777777" w:rsidR="002B0869" w:rsidRPr="004F06F2" w:rsidRDefault="002B0869" w:rsidP="002B0869">
      <w:pPr>
        <w:spacing w:before="0" w:after="0"/>
        <w:rPr>
          <w:rFonts w:eastAsia="Calibri" w:cs="Times New Roman"/>
          <w:bCs/>
          <w:sz w:val="22"/>
          <w:szCs w:val="22"/>
        </w:rPr>
      </w:pPr>
    </w:p>
    <w:p w14:paraId="2688ECF7" w14:textId="77777777" w:rsidR="002B0869" w:rsidRPr="004F06F2" w:rsidRDefault="002B0869" w:rsidP="002B0869">
      <w:pPr>
        <w:spacing w:before="0" w:after="0"/>
        <w:rPr>
          <w:rFonts w:eastAsia="Calibri" w:cs="Times New Roman"/>
          <w:b/>
          <w:sz w:val="22"/>
          <w:szCs w:val="22"/>
        </w:rPr>
      </w:pPr>
      <w:r w:rsidRPr="008A4F67">
        <w:rPr>
          <w:rFonts w:eastAsia="Calibri" w:cs="Times New Roman"/>
          <w:b/>
          <w:sz w:val="22"/>
          <w:szCs w:val="22"/>
        </w:rPr>
        <w:t>b) Medidas de Desempeño Financiero, Metas y Alcance</w:t>
      </w:r>
    </w:p>
    <w:p w14:paraId="6DF78DBA" w14:textId="77777777" w:rsidR="002B0869" w:rsidRPr="004F06F2" w:rsidRDefault="002B0869" w:rsidP="002B0869">
      <w:pPr>
        <w:spacing w:before="0" w:after="0"/>
        <w:rPr>
          <w:rFonts w:eastAsia="Calibri" w:cs="Times New Roman"/>
          <w:sz w:val="22"/>
          <w:szCs w:val="22"/>
        </w:rPr>
      </w:pPr>
    </w:p>
    <w:p w14:paraId="4D051C25"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58158FC8" w14:textId="77777777" w:rsidR="002B0869" w:rsidRPr="004F06F2" w:rsidRDefault="002B0869" w:rsidP="002B0869">
      <w:pPr>
        <w:spacing w:before="0" w:after="0"/>
        <w:rPr>
          <w:rFonts w:eastAsia="Calibri" w:cs="Times New Roman"/>
          <w:sz w:val="22"/>
          <w:szCs w:val="22"/>
        </w:rPr>
      </w:pPr>
    </w:p>
    <w:p w14:paraId="4E39CB6A"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1A3D8098" w14:textId="77777777" w:rsidR="002B0869" w:rsidRPr="004F06F2" w:rsidRDefault="002B0869" w:rsidP="002B0869">
      <w:pPr>
        <w:spacing w:before="0" w:after="0"/>
        <w:rPr>
          <w:rFonts w:eastAsia="Calibri" w:cs="Times New Roman"/>
          <w:sz w:val="22"/>
          <w:szCs w:val="22"/>
        </w:rPr>
      </w:pPr>
    </w:p>
    <w:p w14:paraId="447B0DF3"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Se implementa el Presupuesto basado en Resultados (</w:t>
      </w:r>
      <w:proofErr w:type="spellStart"/>
      <w:r w:rsidRPr="004F06F2">
        <w:rPr>
          <w:rFonts w:eastAsia="Calibri" w:cs="Times New Roman"/>
          <w:sz w:val="22"/>
          <w:szCs w:val="22"/>
        </w:rPr>
        <w:t>PbR</w:t>
      </w:r>
      <w:proofErr w:type="spellEnd"/>
      <w:r w:rsidRPr="004F06F2">
        <w:rPr>
          <w:rFonts w:eastAsia="Calibri" w:cs="Times New Roman"/>
          <w:sz w:val="22"/>
          <w:szCs w:val="22"/>
        </w:rPr>
        <w:t>) de una manera gradual y sostenible, con la finalidad de evaluar las políticas públicas, los programas presupuestarios y el desempeño de las dependencias.</w:t>
      </w:r>
    </w:p>
    <w:p w14:paraId="3FD30F19" w14:textId="77777777" w:rsidR="002B0869" w:rsidRPr="004F06F2" w:rsidRDefault="002B0869" w:rsidP="002B0869">
      <w:pPr>
        <w:spacing w:before="0" w:after="0"/>
        <w:rPr>
          <w:rFonts w:eastAsia="Calibri" w:cs="Times New Roman"/>
          <w:sz w:val="22"/>
          <w:szCs w:val="22"/>
        </w:rPr>
      </w:pPr>
    </w:p>
    <w:p w14:paraId="1EF71A89"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 xml:space="preserve">El Presupuesto estatal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 </w:t>
      </w:r>
    </w:p>
    <w:p w14:paraId="08C1B531" w14:textId="77777777" w:rsidR="002B0869" w:rsidRPr="004F06F2" w:rsidRDefault="002B0869" w:rsidP="002B0869">
      <w:pPr>
        <w:spacing w:before="0" w:after="0"/>
        <w:rPr>
          <w:rFonts w:eastAsia="Calibri" w:cs="Times New Roman"/>
          <w:sz w:val="22"/>
          <w:szCs w:val="22"/>
        </w:rPr>
      </w:pPr>
    </w:p>
    <w:p w14:paraId="0A50CDDB"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El Sistema de Evaluación de Desempeño (SED) como elemento central del funcionamiento del PBR, está compuesto por un conjunto de procesos mediante 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58F5EEBF" w14:textId="77777777" w:rsidR="002B0869" w:rsidRPr="004F06F2" w:rsidRDefault="002B0869" w:rsidP="002B0869">
      <w:pPr>
        <w:spacing w:before="0" w:after="0"/>
        <w:rPr>
          <w:rFonts w:eastAsia="Calibri" w:cs="Times New Roman"/>
          <w:sz w:val="22"/>
          <w:szCs w:val="22"/>
        </w:rPr>
      </w:pPr>
    </w:p>
    <w:p w14:paraId="6DD50B52"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2120453F" w14:textId="77777777" w:rsidR="002B0869" w:rsidRPr="004F06F2" w:rsidRDefault="002B0869" w:rsidP="002B0869">
      <w:pPr>
        <w:spacing w:before="0" w:after="0"/>
        <w:rPr>
          <w:rFonts w:eastAsia="Calibri" w:cs="Times New Roman"/>
          <w:sz w:val="22"/>
          <w:szCs w:val="22"/>
        </w:rPr>
      </w:pPr>
    </w:p>
    <w:p w14:paraId="6E0D507C"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La adecuada ejecución de estos planes coadyuva a que el Estado se convierta en el centro de desarrollo que permita mejorar la calidad de vida y transforme a Michoacán en el mejor lugar.</w:t>
      </w:r>
    </w:p>
    <w:p w14:paraId="0FD593A5" w14:textId="77777777" w:rsidR="002B0869" w:rsidRPr="004F06F2" w:rsidRDefault="002B0869" w:rsidP="002B0869">
      <w:pPr>
        <w:spacing w:before="0" w:after="0"/>
        <w:rPr>
          <w:rFonts w:eastAsia="Calibri" w:cs="Times New Roman"/>
          <w:sz w:val="22"/>
          <w:szCs w:val="22"/>
        </w:rPr>
      </w:pPr>
    </w:p>
    <w:p w14:paraId="4FB057D1" w14:textId="4CE53E92" w:rsidR="002B0869" w:rsidRPr="002B0869" w:rsidRDefault="002B0869" w:rsidP="002B0869">
      <w:pPr>
        <w:spacing w:before="0" w:after="0"/>
        <w:rPr>
          <w:rFonts w:eastAsia="Calibri" w:cs="Times New Roman"/>
          <w:sz w:val="22"/>
          <w:szCs w:val="22"/>
        </w:rPr>
      </w:pPr>
      <w:r w:rsidRPr="004F06F2">
        <w:rPr>
          <w:rFonts w:eastAsia="Calibri" w:cs="Times New Roman"/>
          <w:sz w:val="22"/>
          <w:szCs w:val="22"/>
        </w:rPr>
        <w:t>El seguimiento a las metas y objetivos se encuentra detallado en la Matriz de Indicadores para Resultados así como el seguimiento del Análisis Programático Presupuestario que se encuentra publicado en la página de la Secretaría de Finanzas y Administración.</w:t>
      </w:r>
    </w:p>
    <w:p w14:paraId="3B25D633"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lastRenderedPageBreak/>
        <w:t>13. Información por segmentos</w:t>
      </w:r>
    </w:p>
    <w:p w14:paraId="3597443C" w14:textId="77777777" w:rsidR="002B0869" w:rsidRPr="004F06F2" w:rsidRDefault="002B0869" w:rsidP="002B0869">
      <w:pPr>
        <w:spacing w:before="0" w:after="0"/>
        <w:rPr>
          <w:rFonts w:eastAsia="Calibri" w:cs="Times New Roman"/>
          <w:b/>
          <w:sz w:val="22"/>
          <w:szCs w:val="22"/>
        </w:rPr>
      </w:pPr>
      <w:r w:rsidRPr="004F06F2">
        <w:rPr>
          <w:rFonts w:eastAsia="Calibri" w:cs="Times New Roman"/>
          <w:bCs/>
          <w:sz w:val="22"/>
          <w:szCs w:val="22"/>
        </w:rPr>
        <w:t>Para el periodo que se reporta, no existe información referente a segmentos por revelar.</w:t>
      </w:r>
    </w:p>
    <w:p w14:paraId="0721863F" w14:textId="77777777" w:rsidR="002B0869" w:rsidRPr="004F06F2" w:rsidRDefault="002B0869" w:rsidP="002B0869">
      <w:pPr>
        <w:spacing w:before="0" w:after="0"/>
        <w:rPr>
          <w:rFonts w:eastAsia="Calibri" w:cs="Times New Roman"/>
          <w:b/>
          <w:sz w:val="22"/>
          <w:szCs w:val="22"/>
        </w:rPr>
      </w:pPr>
    </w:p>
    <w:p w14:paraId="2C27C733"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14. Eventos Posteriores al Cierre</w:t>
      </w:r>
    </w:p>
    <w:p w14:paraId="0D11BEBB" w14:textId="77777777" w:rsidR="002B0869" w:rsidRPr="004F06F2" w:rsidRDefault="002B0869" w:rsidP="002B0869">
      <w:pPr>
        <w:spacing w:before="0" w:after="0"/>
        <w:rPr>
          <w:rFonts w:eastAsia="Calibri" w:cs="Times New Roman"/>
          <w:bCs/>
          <w:sz w:val="22"/>
          <w:szCs w:val="22"/>
        </w:rPr>
      </w:pPr>
      <w:r w:rsidRPr="004F06F2">
        <w:rPr>
          <w:rFonts w:eastAsia="Calibri" w:cs="Times New Roman"/>
          <w:bCs/>
          <w:sz w:val="22"/>
          <w:szCs w:val="22"/>
        </w:rPr>
        <w:t>El Gobierno del Estado de Michoacán no reconoce eventos posteriores al cierre que de manera significativa puedan afectar de manera económica, las cifras que se presentan en el presente informe.</w:t>
      </w:r>
    </w:p>
    <w:p w14:paraId="7CCEBF2E" w14:textId="77777777" w:rsidR="002B0869" w:rsidRPr="004F06F2" w:rsidRDefault="002B0869" w:rsidP="002B0869">
      <w:pPr>
        <w:spacing w:before="0" w:after="0"/>
        <w:rPr>
          <w:rFonts w:eastAsia="Calibri" w:cs="Times New Roman"/>
          <w:b/>
          <w:sz w:val="22"/>
          <w:szCs w:val="22"/>
        </w:rPr>
      </w:pPr>
    </w:p>
    <w:p w14:paraId="22895135"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15.</w:t>
      </w:r>
      <w:r w:rsidRPr="004F06F2">
        <w:rPr>
          <w:rFonts w:eastAsia="Calibri" w:cs="Times New Roman"/>
          <w:b/>
          <w:sz w:val="22"/>
          <w:szCs w:val="22"/>
        </w:rPr>
        <w:tab/>
        <w:t>Partes Relacionadas</w:t>
      </w:r>
    </w:p>
    <w:p w14:paraId="08FD1DB9"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No existen partes relacionadas que pudieran ejercer influencia significativa en la toma de decisiones financieras y operativas.</w:t>
      </w:r>
    </w:p>
    <w:p w14:paraId="7169EFE9" w14:textId="77777777" w:rsidR="002B0869" w:rsidRPr="004F06F2" w:rsidRDefault="002B0869" w:rsidP="002B0869">
      <w:pPr>
        <w:spacing w:before="0" w:after="0"/>
        <w:rPr>
          <w:rFonts w:eastAsia="Calibri" w:cs="Times New Roman"/>
          <w:color w:val="000000"/>
          <w:sz w:val="22"/>
          <w:szCs w:val="22"/>
        </w:rPr>
      </w:pPr>
    </w:p>
    <w:p w14:paraId="0825B635"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Lo anterior, se refiere a que no existen entes o personas que tengan la capacidad de controlar o ejercer dicha influencia en la Administración Pública del Gobierno del Estado de Michoacán.</w:t>
      </w:r>
    </w:p>
    <w:p w14:paraId="29CBCCC6" w14:textId="77777777" w:rsidR="002B0869" w:rsidRPr="004F06F2" w:rsidRDefault="002B0869" w:rsidP="002B0869">
      <w:pPr>
        <w:spacing w:before="0" w:after="0"/>
        <w:rPr>
          <w:rFonts w:eastAsia="Calibri" w:cs="Times New Roman"/>
          <w:b/>
          <w:bCs/>
          <w:color w:val="000000"/>
          <w:sz w:val="22"/>
          <w:szCs w:val="22"/>
        </w:rPr>
      </w:pPr>
    </w:p>
    <w:p w14:paraId="0A7B8048" w14:textId="77777777" w:rsidR="002B0869" w:rsidRPr="004F06F2" w:rsidRDefault="002B0869" w:rsidP="002B0869">
      <w:pPr>
        <w:spacing w:before="0" w:after="0"/>
        <w:rPr>
          <w:rFonts w:eastAsia="Calibri" w:cs="Times New Roman"/>
          <w:b/>
          <w:bCs/>
          <w:color w:val="000000"/>
          <w:sz w:val="22"/>
          <w:szCs w:val="22"/>
        </w:rPr>
      </w:pPr>
      <w:r w:rsidRPr="004F06F2">
        <w:rPr>
          <w:rFonts w:eastAsia="Calibri" w:cs="Times New Roman"/>
          <w:b/>
          <w:bCs/>
          <w:color w:val="000000"/>
          <w:sz w:val="22"/>
          <w:szCs w:val="22"/>
        </w:rPr>
        <w:t>16. Responsabilidad sobre la presentación razonable de la información contable</w:t>
      </w:r>
    </w:p>
    <w:p w14:paraId="3EF4EE0C" w14:textId="77777777" w:rsidR="002B0869"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 xml:space="preserve">Los Estados Financieros contables están firmados al calce, bajo protesta de decir verdad, declarando que estos y sus notas son razonablemente correctos y </w:t>
      </w:r>
      <w:r>
        <w:rPr>
          <w:rFonts w:eastAsia="Calibri" w:cs="Times New Roman"/>
          <w:color w:val="000000"/>
          <w:sz w:val="22"/>
          <w:szCs w:val="22"/>
        </w:rPr>
        <w:t>son responsabilidad del emisor.</w:t>
      </w:r>
    </w:p>
    <w:p w14:paraId="555D1C6C" w14:textId="77777777" w:rsidR="002B0869" w:rsidRPr="00FA7516" w:rsidRDefault="002B0869" w:rsidP="002B0869">
      <w:pPr>
        <w:spacing w:before="0" w:after="0"/>
        <w:rPr>
          <w:rFonts w:eastAsia="Calibri" w:cs="Times New Roman"/>
          <w:color w:val="000000"/>
          <w:sz w:val="22"/>
          <w:szCs w:val="22"/>
        </w:rPr>
      </w:pPr>
    </w:p>
    <w:p w14:paraId="701841CF" w14:textId="77777777" w:rsidR="002B0869" w:rsidRPr="00F91796" w:rsidRDefault="002B0869" w:rsidP="002B0869">
      <w:pPr>
        <w:spacing w:before="0" w:after="0"/>
        <w:jc w:val="center"/>
        <w:rPr>
          <w:rFonts w:eastAsia="Calibri" w:cs="Times New Roman"/>
          <w:b/>
          <w:sz w:val="28"/>
          <w:szCs w:val="28"/>
        </w:rPr>
      </w:pPr>
      <w:r w:rsidRPr="00FA7516">
        <w:rPr>
          <w:rFonts w:eastAsia="Calibri" w:cs="Times New Roman"/>
          <w:b/>
          <w:sz w:val="28"/>
          <w:szCs w:val="28"/>
        </w:rPr>
        <w:t>b) NOTAS DE DESGLOSE</w:t>
      </w:r>
    </w:p>
    <w:p w14:paraId="6DA19596" w14:textId="77777777" w:rsidR="002B0869" w:rsidRPr="004F06F2" w:rsidRDefault="002B0869" w:rsidP="002B0869">
      <w:pPr>
        <w:widowControl w:val="0"/>
        <w:spacing w:before="0" w:after="0"/>
        <w:jc w:val="left"/>
        <w:rPr>
          <w:rFonts w:eastAsia="Calibri" w:cs="Times New Roman"/>
          <w:b/>
          <w:sz w:val="28"/>
          <w:szCs w:val="28"/>
        </w:rPr>
      </w:pPr>
      <w:r w:rsidRPr="004F06F2">
        <w:rPr>
          <w:rFonts w:eastAsia="Calibri" w:cs="Times New Roman"/>
          <w:b/>
        </w:rPr>
        <w:t>I). NOTAS AL ESTADO DE ACTIVIDADES</w:t>
      </w:r>
    </w:p>
    <w:p w14:paraId="6AF49134" w14:textId="77777777" w:rsidR="002B0869" w:rsidRPr="004F06F2" w:rsidRDefault="002B0869" w:rsidP="002B0869">
      <w:pPr>
        <w:spacing w:before="0" w:after="0"/>
        <w:rPr>
          <w:rFonts w:eastAsia="Calibri" w:cs="Times New Roman"/>
          <w:color w:val="000000"/>
          <w:sz w:val="22"/>
          <w:szCs w:val="22"/>
        </w:rPr>
      </w:pPr>
    </w:p>
    <w:p w14:paraId="43735F84"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 xml:space="preserve">Este estado financiero, muestra dos grandes agregados representados por los </w:t>
      </w:r>
      <w:r w:rsidRPr="004F06F2">
        <w:rPr>
          <w:rFonts w:eastAsia="Calibri" w:cs="Times New Roman"/>
          <w:b/>
          <w:color w:val="000000"/>
          <w:sz w:val="22"/>
          <w:szCs w:val="22"/>
        </w:rPr>
        <w:t>ingresos y otros beneficios</w:t>
      </w:r>
      <w:r w:rsidRPr="004F06F2">
        <w:rPr>
          <w:rFonts w:eastAsia="Calibri" w:cs="Times New Roman"/>
          <w:color w:val="000000"/>
          <w:sz w:val="22"/>
          <w:szCs w:val="22"/>
        </w:rPr>
        <w:t xml:space="preserve">, así como los </w:t>
      </w:r>
      <w:r w:rsidRPr="004F06F2">
        <w:rPr>
          <w:rFonts w:eastAsia="Calibri" w:cs="Times New Roman"/>
          <w:b/>
          <w:color w:val="000000"/>
          <w:sz w:val="22"/>
          <w:szCs w:val="22"/>
        </w:rPr>
        <w:t>gastos y otras pérdidas</w:t>
      </w:r>
      <w:r w:rsidRPr="004F06F2">
        <w:rPr>
          <w:rFonts w:eastAsia="Calibri" w:cs="Times New Roman"/>
          <w:color w:val="000000"/>
          <w:sz w:val="22"/>
          <w:szCs w:val="22"/>
        </w:rPr>
        <w:t>, mostrando los conceptos del ingreso y los gastos con los conceptos de los Clasificadores por Rubros de Ingresos y por Objeto del Gasto, de acuerdo a la Ley de Ingresos del Estado de Michoacán de Ocampo para el ejercicio fiscal 202</w:t>
      </w:r>
      <w:r>
        <w:rPr>
          <w:rFonts w:eastAsia="Calibri" w:cs="Times New Roman"/>
          <w:color w:val="000000"/>
          <w:sz w:val="22"/>
          <w:szCs w:val="22"/>
        </w:rPr>
        <w:t>5</w:t>
      </w:r>
      <w:r w:rsidRPr="004F06F2">
        <w:rPr>
          <w:rFonts w:eastAsia="Calibri" w:cs="Times New Roman"/>
          <w:color w:val="000000"/>
          <w:sz w:val="22"/>
          <w:szCs w:val="22"/>
        </w:rPr>
        <w:t xml:space="preserve"> y al Decreto que contiene de Presupuesto de Egresos del Gobierno del Estado de Michoacán de Ocampo del mismo ejercicio; así mismo, </w:t>
      </w:r>
      <w:r w:rsidRPr="00FA7516">
        <w:rPr>
          <w:rFonts w:eastAsia="Calibri" w:cs="Times New Roman"/>
          <w:color w:val="000000"/>
          <w:sz w:val="22"/>
          <w:szCs w:val="22"/>
        </w:rPr>
        <w:t xml:space="preserve">permite determinar el resultado del </w:t>
      </w:r>
      <w:r w:rsidRPr="00FA7516">
        <w:rPr>
          <w:rFonts w:eastAsia="Calibri" w:cs="Times New Roman"/>
          <w:color w:val="000000"/>
          <w:sz w:val="22"/>
          <w:szCs w:val="22"/>
        </w:rPr>
        <w:lastRenderedPageBreak/>
        <w:t>ejercicio, el cual refleja un ahorro de 4 mil 981 millones 124 mil 444 pesos.</w:t>
      </w:r>
      <w:r w:rsidRPr="004F06F2">
        <w:rPr>
          <w:rFonts w:eastAsia="Calibri" w:cs="Times New Roman"/>
          <w:color w:val="000000"/>
          <w:sz w:val="22"/>
          <w:szCs w:val="22"/>
        </w:rPr>
        <w:t xml:space="preserve">  </w:t>
      </w:r>
    </w:p>
    <w:p w14:paraId="3C242CE3" w14:textId="77777777" w:rsidR="002B0869" w:rsidRPr="004F06F2" w:rsidRDefault="002B0869" w:rsidP="002B0869">
      <w:pPr>
        <w:spacing w:before="0" w:after="0"/>
        <w:rPr>
          <w:rFonts w:eastAsia="Calibri" w:cs="Times New Roman"/>
          <w:color w:val="000000"/>
          <w:sz w:val="22"/>
          <w:szCs w:val="22"/>
        </w:rPr>
      </w:pPr>
    </w:p>
    <w:p w14:paraId="52DAC373" w14:textId="77777777" w:rsidR="002B0869" w:rsidRDefault="002B0869" w:rsidP="002B0869">
      <w:pPr>
        <w:spacing w:before="0" w:after="0"/>
        <w:rPr>
          <w:rFonts w:ascii="Arial" w:hAnsi="Arial" w:cs="Arial"/>
          <w:sz w:val="22"/>
          <w:szCs w:val="22"/>
        </w:rPr>
      </w:pPr>
      <w:r w:rsidRPr="004F06F2">
        <w:rPr>
          <w:rFonts w:eastAsia="Calibri" w:cs="Times New Roman"/>
          <w:color w:val="000000"/>
          <w:sz w:val="22"/>
          <w:szCs w:val="22"/>
        </w:rPr>
        <w:t xml:space="preserve">1. Los ingresos obtenidos al </w:t>
      </w:r>
      <w:r>
        <w:rPr>
          <w:rFonts w:eastAsia="Calibri" w:cs="Times New Roman"/>
          <w:bCs/>
          <w:color w:val="000000"/>
          <w:sz w:val="22"/>
          <w:szCs w:val="22"/>
        </w:rPr>
        <w:t>segundo</w:t>
      </w:r>
      <w:r w:rsidRPr="004F06F2">
        <w:rPr>
          <w:rFonts w:eastAsia="Calibri" w:cs="Times New Roman"/>
          <w:color w:val="000000"/>
          <w:sz w:val="22"/>
          <w:szCs w:val="22"/>
        </w:rPr>
        <w:t xml:space="preserve"> trimestre del ejercicio fiscal que se informa, ascienden a </w:t>
      </w:r>
      <w:r w:rsidRPr="00FA7516">
        <w:rPr>
          <w:rFonts w:eastAsia="Calibri" w:cs="Times New Roman"/>
          <w:color w:val="000000"/>
          <w:sz w:val="22"/>
          <w:szCs w:val="22"/>
        </w:rPr>
        <w:t>53 mil 84 millones 826 mil 790 pesos,</w:t>
      </w:r>
      <w:r w:rsidRPr="004F06F2">
        <w:rPr>
          <w:rFonts w:eastAsia="Calibri" w:cs="Times New Roman"/>
          <w:color w:val="000000"/>
          <w:sz w:val="22"/>
          <w:szCs w:val="22"/>
        </w:rPr>
        <w:t xml:space="preserve"> que se integran principalmente por participaciones, aportaciones, transferencias, asignaciones, subsidios y otras ayudas que representan </w:t>
      </w:r>
      <w:r w:rsidRPr="00FA7516">
        <w:rPr>
          <w:rFonts w:eastAsia="Calibri" w:cs="Times New Roman"/>
          <w:color w:val="000000"/>
          <w:sz w:val="22"/>
          <w:szCs w:val="22"/>
        </w:rPr>
        <w:t xml:space="preserve">el 92% </w:t>
      </w:r>
      <w:r w:rsidRPr="00FA7516">
        <w:rPr>
          <w:rFonts w:eastAsia="Calibri" w:cs="Times New Roman"/>
          <w:sz w:val="22"/>
          <w:szCs w:val="22"/>
        </w:rPr>
        <w:t>así como ingresos de la gestión que representan el 8%,</w:t>
      </w:r>
      <w:r w:rsidRPr="004F06F2">
        <w:rPr>
          <w:rFonts w:eastAsia="Calibri" w:cs="Times New Roman"/>
          <w:sz w:val="22"/>
          <w:szCs w:val="22"/>
        </w:rPr>
        <w:t xml:space="preserve"> como se detalla a continuación:</w:t>
      </w:r>
      <w:r w:rsidRPr="004F06F2">
        <w:rPr>
          <w:rFonts w:ascii="Arial" w:hAnsi="Arial" w:cs="Arial"/>
          <w:sz w:val="22"/>
          <w:szCs w:val="22"/>
        </w:rPr>
        <w:t xml:space="preserve"> </w:t>
      </w:r>
    </w:p>
    <w:p w14:paraId="2D88FB74" w14:textId="77777777" w:rsidR="002B0869" w:rsidRDefault="002B0869" w:rsidP="002B0869">
      <w:pPr>
        <w:spacing w:before="0" w:after="0"/>
        <w:rPr>
          <w:rFonts w:ascii="Arial" w:hAnsi="Arial" w:cs="Arial"/>
          <w:sz w:val="22"/>
          <w:szCs w:val="22"/>
        </w:rPr>
      </w:pPr>
    </w:p>
    <w:p w14:paraId="7B236176" w14:textId="77777777" w:rsidR="002B0869" w:rsidRDefault="002B0869" w:rsidP="002B0869">
      <w:pPr>
        <w:spacing w:before="0" w:after="0"/>
        <w:rPr>
          <w:rFonts w:ascii="Arial" w:hAnsi="Arial" w:cs="Arial"/>
          <w:sz w:val="22"/>
          <w:szCs w:val="22"/>
        </w:rPr>
      </w:pPr>
      <w:r w:rsidRPr="009A3DCB">
        <w:rPr>
          <w:rFonts w:ascii="Arial" w:hAnsi="Arial" w:cs="Arial"/>
          <w:noProof/>
          <w:sz w:val="22"/>
          <w:szCs w:val="22"/>
          <w:lang w:val="es-MX" w:eastAsia="es-MX"/>
        </w:rPr>
        <w:drawing>
          <wp:inline distT="0" distB="0" distL="0" distR="0" wp14:anchorId="6F0CA191" wp14:editId="529F2D16">
            <wp:extent cx="6315710" cy="1076446"/>
            <wp:effectExtent l="0" t="0" r="0" b="3175"/>
            <wp:docPr id="666093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93821" name=""/>
                    <pic:cNvPicPr/>
                  </pic:nvPicPr>
                  <pic:blipFill>
                    <a:blip r:embed="rId20"/>
                    <a:stretch>
                      <a:fillRect/>
                    </a:stretch>
                  </pic:blipFill>
                  <pic:spPr>
                    <a:xfrm>
                      <a:off x="0" y="0"/>
                      <a:ext cx="6414401" cy="1093267"/>
                    </a:xfrm>
                    <a:prstGeom prst="rect">
                      <a:avLst/>
                    </a:prstGeom>
                  </pic:spPr>
                </pic:pic>
              </a:graphicData>
            </a:graphic>
          </wp:inline>
        </w:drawing>
      </w:r>
    </w:p>
    <w:p w14:paraId="175EE148" w14:textId="77777777" w:rsidR="002B0869" w:rsidRPr="004F06F2" w:rsidRDefault="002B0869" w:rsidP="002B0869">
      <w:pPr>
        <w:spacing w:before="0" w:after="0"/>
        <w:rPr>
          <w:rFonts w:eastAsia="Calibri" w:cs="Times New Roman"/>
          <w:b/>
          <w:color w:val="833C0B"/>
          <w:sz w:val="22"/>
          <w:szCs w:val="22"/>
        </w:rPr>
      </w:pPr>
    </w:p>
    <w:p w14:paraId="2DF552E9" w14:textId="77777777" w:rsidR="002B0869" w:rsidRDefault="002B0869" w:rsidP="002B0869">
      <w:r w:rsidRPr="004F06F2">
        <w:rPr>
          <w:rFonts w:eastAsia="Calibri" w:cs="Times New Roman"/>
          <w:sz w:val="22"/>
          <w:szCs w:val="22"/>
        </w:rPr>
        <w:t xml:space="preserve">En relación con los ingresos obtenidos, se encuentra en forma específica un análisis por concepto, en el apartado </w:t>
      </w:r>
      <w:r w:rsidRPr="004F06F2">
        <w:rPr>
          <w:b/>
          <w:bCs/>
        </w:rPr>
        <w:t xml:space="preserve">II.1.c ANALISIS DE INGRESOS, </w:t>
      </w:r>
      <w:r w:rsidRPr="004F06F2">
        <w:t>por lo que en este apartado se informa de manera general.</w:t>
      </w:r>
    </w:p>
    <w:p w14:paraId="377A809F" w14:textId="77777777" w:rsidR="002B0869" w:rsidRPr="005C28AA" w:rsidRDefault="002B0869" w:rsidP="002B0869"/>
    <w:p w14:paraId="71A534A4" w14:textId="77777777" w:rsidR="002B0869" w:rsidRPr="004F06F2" w:rsidRDefault="002B0869" w:rsidP="002B0869">
      <w:pPr>
        <w:rPr>
          <w:b/>
          <w:bCs/>
        </w:rPr>
      </w:pPr>
      <w:r w:rsidRPr="004F06F2">
        <w:rPr>
          <w:b/>
          <w:bCs/>
        </w:rPr>
        <w:t>- INGRESOS DE GESTIÓN</w:t>
      </w:r>
    </w:p>
    <w:p w14:paraId="69E17275" w14:textId="77777777" w:rsidR="002B0869" w:rsidRDefault="002B0869" w:rsidP="002B0869">
      <w:r w:rsidRPr="004F06F2">
        <w:t xml:space="preserve">Los rubros de impuestos, cuotas y aportaciones de seguridad social, contribuciones de mejoras, derechos, productos, aprovechamientos y de ingresos por ventas de bienes y prestación de servicios, los cuales están armonizados en los rubros del Clasificador por Rubro de Ingresos (CRI), se informan los montos totales obtenidos por </w:t>
      </w:r>
      <w:r w:rsidRPr="00FA7516">
        <w:t>4 mil 384 millones 870 mil 318 pesos,</w:t>
      </w:r>
      <w:r w:rsidRPr="004F06F2">
        <w:t xml:space="preserve"> como sigue:</w:t>
      </w:r>
    </w:p>
    <w:p w14:paraId="08F0EE84" w14:textId="77777777" w:rsidR="002B0869" w:rsidRDefault="002B0869" w:rsidP="002B0869">
      <w:r w:rsidRPr="009A3DCB">
        <w:rPr>
          <w:noProof/>
          <w:lang w:val="es-MX" w:eastAsia="es-MX"/>
        </w:rPr>
        <w:lastRenderedPageBreak/>
        <w:drawing>
          <wp:inline distT="0" distB="0" distL="0" distR="0" wp14:anchorId="3F91971C" wp14:editId="4F5ED926">
            <wp:extent cx="6351270" cy="1285592"/>
            <wp:effectExtent l="0" t="0" r="0" b="0"/>
            <wp:docPr id="8407570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757045" name=""/>
                    <pic:cNvPicPr/>
                  </pic:nvPicPr>
                  <pic:blipFill>
                    <a:blip r:embed="rId21"/>
                    <a:stretch>
                      <a:fillRect/>
                    </a:stretch>
                  </pic:blipFill>
                  <pic:spPr>
                    <a:xfrm>
                      <a:off x="0" y="0"/>
                      <a:ext cx="6420409" cy="1299587"/>
                    </a:xfrm>
                    <a:prstGeom prst="rect">
                      <a:avLst/>
                    </a:prstGeom>
                  </pic:spPr>
                </pic:pic>
              </a:graphicData>
            </a:graphic>
          </wp:inline>
        </w:drawing>
      </w:r>
    </w:p>
    <w:p w14:paraId="1DFAE2AC" w14:textId="77777777" w:rsidR="002B0869" w:rsidRPr="009A3DCB" w:rsidRDefault="002B0869" w:rsidP="002B0869"/>
    <w:p w14:paraId="3CD6941C" w14:textId="77777777" w:rsidR="002B0869" w:rsidRPr="004F06F2" w:rsidRDefault="002B0869" w:rsidP="002B0869">
      <w:pPr>
        <w:rPr>
          <w:b/>
          <w:bCs/>
        </w:rPr>
      </w:pPr>
      <w:r w:rsidRPr="00AF75FA">
        <w:rPr>
          <w:b/>
          <w:bCs/>
        </w:rPr>
        <w:t>- PARTICIPACIONES, APORTACIONES, CONVENIOS, INCENTIVOS DERIVADOS DE LA COLABORACIÓN FISCAL, FONDOS DISTINTOS DE APORTACIONES, TRANSFERENCIAS, ASIGNACIONES, SUBSIDIOS Y SUBVENCIONES, Y PENSIONES Y JUBILACIONES.</w:t>
      </w:r>
    </w:p>
    <w:p w14:paraId="0EFCD5C9" w14:textId="77777777" w:rsidR="002B0869" w:rsidRDefault="002B0869" w:rsidP="002B0869">
      <w:r w:rsidRPr="004F06F2">
        <w:rPr>
          <w:rFonts w:eastAsia="Calibri" w:cs="Times New Roman"/>
          <w:color w:val="000000"/>
          <w:sz w:val="22"/>
          <w:szCs w:val="22"/>
        </w:rPr>
        <w:t xml:space="preserve">De los rubros de participaciones, aportaciones, convenios, incentivos derivados de la colaboración fiscal, fondos distintos de aportaciones, transferencias, asignaciones, subsidios y subvenciones; y pensiones y jubilaciones, </w:t>
      </w:r>
      <w:r w:rsidRPr="004F06F2">
        <w:t xml:space="preserve">están armonizados en los rubros del Clasificador por Rubro de Ingresos (CRI), se informan los montos totales obtenidos </w:t>
      </w:r>
      <w:r w:rsidRPr="00FA7516">
        <w:t>por 48 mil 697 millones 477 mil 771 pesos</w:t>
      </w:r>
      <w:r w:rsidRPr="004F06F2">
        <w:t>, como sigue:</w:t>
      </w:r>
    </w:p>
    <w:p w14:paraId="14A22ACE" w14:textId="77777777" w:rsidR="002B0869" w:rsidRDefault="002B0869" w:rsidP="002B0869">
      <w:r w:rsidRPr="009A3DCB">
        <w:rPr>
          <w:noProof/>
          <w:lang w:val="es-MX" w:eastAsia="es-MX"/>
        </w:rPr>
        <w:drawing>
          <wp:inline distT="0" distB="0" distL="0" distR="0" wp14:anchorId="04BD67B1" wp14:editId="713F9F74">
            <wp:extent cx="6351270" cy="669956"/>
            <wp:effectExtent l="0" t="0" r="0" b="3175"/>
            <wp:docPr id="2072469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69215" name=""/>
                    <pic:cNvPicPr/>
                  </pic:nvPicPr>
                  <pic:blipFill>
                    <a:blip r:embed="rId22"/>
                    <a:stretch>
                      <a:fillRect/>
                    </a:stretch>
                  </pic:blipFill>
                  <pic:spPr>
                    <a:xfrm>
                      <a:off x="0" y="0"/>
                      <a:ext cx="6727118" cy="709602"/>
                    </a:xfrm>
                    <a:prstGeom prst="rect">
                      <a:avLst/>
                    </a:prstGeom>
                  </pic:spPr>
                </pic:pic>
              </a:graphicData>
            </a:graphic>
          </wp:inline>
        </w:drawing>
      </w:r>
    </w:p>
    <w:p w14:paraId="2C50EFD0" w14:textId="77777777" w:rsidR="002B0869" w:rsidRPr="00FA7516" w:rsidRDefault="002B0869" w:rsidP="002B0869"/>
    <w:p w14:paraId="380CC346" w14:textId="77777777" w:rsidR="002B0869" w:rsidRPr="004F06F2" w:rsidRDefault="002B0869" w:rsidP="002B0869">
      <w:pPr>
        <w:rPr>
          <w:rFonts w:eastAsia="Calibri" w:cs="Times New Roman"/>
          <w:b/>
          <w:bCs/>
          <w:color w:val="000000"/>
          <w:sz w:val="22"/>
          <w:szCs w:val="22"/>
        </w:rPr>
      </w:pPr>
      <w:r w:rsidRPr="004F06F2">
        <w:rPr>
          <w:rFonts w:eastAsia="Calibri" w:cs="Times New Roman"/>
          <w:b/>
          <w:bCs/>
          <w:color w:val="000000"/>
          <w:sz w:val="22"/>
          <w:szCs w:val="22"/>
        </w:rPr>
        <w:t xml:space="preserve">- </w:t>
      </w:r>
      <w:r w:rsidRPr="00AF75FA">
        <w:rPr>
          <w:rFonts w:eastAsia="Calibri" w:cs="Times New Roman"/>
          <w:b/>
          <w:bCs/>
          <w:color w:val="000000"/>
          <w:sz w:val="22"/>
          <w:szCs w:val="22"/>
        </w:rPr>
        <w:t>OTROS INGRESOS Y BENEFICIOS</w:t>
      </w:r>
    </w:p>
    <w:p w14:paraId="5CAC1D8F" w14:textId="77777777" w:rsidR="002B0869" w:rsidRDefault="002B0869" w:rsidP="002B0869">
      <w:pPr>
        <w:rPr>
          <w:rFonts w:eastAsia="Calibri" w:cs="Times New Roman"/>
          <w:bCs/>
          <w:color w:val="000000"/>
          <w:sz w:val="22"/>
          <w:szCs w:val="22"/>
        </w:rPr>
      </w:pPr>
      <w:r w:rsidRPr="004F06F2">
        <w:rPr>
          <w:rFonts w:eastAsia="Calibri" w:cs="Times New Roman"/>
          <w:bCs/>
          <w:color w:val="000000"/>
          <w:sz w:val="22"/>
          <w:szCs w:val="22"/>
        </w:rPr>
        <w:t>Se compone de los rubros de ingresos financieros, incremento por variación de inventarios, disminución del exceso por pérdida o Deterioro u obsolescencia, disminución de excesos de provisiones y de otros ingresos y beneficios varios y se informan los montos totales como sigue:</w:t>
      </w:r>
    </w:p>
    <w:p w14:paraId="51F6DB94" w14:textId="77777777" w:rsidR="002B0869" w:rsidRPr="004F06F2" w:rsidRDefault="002B0869" w:rsidP="002B0869">
      <w:pPr>
        <w:rPr>
          <w:rFonts w:eastAsia="Calibri" w:cs="Times New Roman"/>
          <w:bCs/>
          <w:color w:val="000000"/>
          <w:sz w:val="22"/>
          <w:szCs w:val="22"/>
        </w:rPr>
      </w:pPr>
      <w:r w:rsidRPr="00D0662E">
        <w:rPr>
          <w:rFonts w:eastAsia="Calibri" w:cs="Times New Roman"/>
          <w:bCs/>
          <w:noProof/>
          <w:color w:val="000000"/>
          <w:sz w:val="22"/>
          <w:szCs w:val="22"/>
          <w:lang w:val="es-MX" w:eastAsia="es-MX"/>
        </w:rPr>
        <w:drawing>
          <wp:inline distT="0" distB="0" distL="0" distR="0" wp14:anchorId="30D52126" wp14:editId="7B6579F4">
            <wp:extent cx="6351270" cy="724278"/>
            <wp:effectExtent l="0" t="0" r="0" b="0"/>
            <wp:docPr id="445489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89991" name=""/>
                    <pic:cNvPicPr/>
                  </pic:nvPicPr>
                  <pic:blipFill>
                    <a:blip r:embed="rId23"/>
                    <a:stretch>
                      <a:fillRect/>
                    </a:stretch>
                  </pic:blipFill>
                  <pic:spPr>
                    <a:xfrm>
                      <a:off x="0" y="0"/>
                      <a:ext cx="6465907" cy="737351"/>
                    </a:xfrm>
                    <a:prstGeom prst="rect">
                      <a:avLst/>
                    </a:prstGeom>
                  </pic:spPr>
                </pic:pic>
              </a:graphicData>
            </a:graphic>
          </wp:inline>
        </w:drawing>
      </w:r>
    </w:p>
    <w:p w14:paraId="06529470" w14:textId="77777777" w:rsidR="002B0869" w:rsidRPr="004F06F2" w:rsidRDefault="002B0869" w:rsidP="002B0869">
      <w:pPr>
        <w:rPr>
          <w:rFonts w:eastAsia="Calibri" w:cs="Times New Roman"/>
          <w:b/>
          <w:bCs/>
          <w:color w:val="000000"/>
          <w:sz w:val="22"/>
          <w:szCs w:val="22"/>
        </w:rPr>
      </w:pPr>
    </w:p>
    <w:p w14:paraId="29152DBC" w14:textId="77777777" w:rsidR="002B0869" w:rsidRPr="004F06F2" w:rsidRDefault="002B0869" w:rsidP="002B0869">
      <w:pPr>
        <w:rPr>
          <w:rFonts w:eastAsia="Calibri" w:cs="Times New Roman"/>
          <w:b/>
          <w:bCs/>
          <w:color w:val="000000"/>
          <w:sz w:val="22"/>
          <w:szCs w:val="22"/>
        </w:rPr>
      </w:pPr>
      <w:r w:rsidRPr="004F06F2">
        <w:rPr>
          <w:rFonts w:eastAsia="Calibri" w:cs="Times New Roman"/>
          <w:b/>
          <w:bCs/>
          <w:color w:val="000000"/>
          <w:sz w:val="22"/>
          <w:szCs w:val="22"/>
        </w:rPr>
        <w:lastRenderedPageBreak/>
        <w:t>GASTOS Y OTRAS PÉRDIDAS</w:t>
      </w:r>
    </w:p>
    <w:p w14:paraId="2C883CBF" w14:textId="77777777" w:rsidR="002B0869" w:rsidRDefault="002B0869" w:rsidP="002B0869">
      <w:pPr>
        <w:rPr>
          <w:rFonts w:ascii="Arial" w:hAnsi="Arial" w:cs="Arial"/>
          <w:color w:val="000000"/>
          <w:sz w:val="22"/>
          <w:szCs w:val="22"/>
        </w:rPr>
      </w:pPr>
      <w:r w:rsidRPr="004F06F2">
        <w:rPr>
          <w:rFonts w:eastAsia="Calibri" w:cs="Times New Roman"/>
          <w:color w:val="000000"/>
          <w:sz w:val="22"/>
          <w:szCs w:val="22"/>
        </w:rPr>
        <w:t xml:space="preserve">1. En lo relativo al gasto y otras pérdidas, se refleja el gasto devengado, en cumplimiento de la normatividad emitida por el Consejo Nacional de Armonización Contable, el cual ascendió a </w:t>
      </w:r>
      <w:r w:rsidRPr="00FA7516">
        <w:rPr>
          <w:rFonts w:eastAsia="Calibri" w:cs="Times New Roman"/>
          <w:color w:val="000000"/>
          <w:sz w:val="22"/>
          <w:szCs w:val="22"/>
        </w:rPr>
        <w:t xml:space="preserve">48 mil 103 millones 702 mil </w:t>
      </w:r>
      <w:r>
        <w:rPr>
          <w:rFonts w:eastAsia="Calibri" w:cs="Times New Roman"/>
          <w:color w:val="000000"/>
          <w:sz w:val="22"/>
          <w:szCs w:val="22"/>
        </w:rPr>
        <w:t>347</w:t>
      </w:r>
      <w:r w:rsidRPr="004F06F2">
        <w:rPr>
          <w:rFonts w:eastAsia="Calibri" w:cs="Times New Roman"/>
          <w:color w:val="000000"/>
          <w:sz w:val="22"/>
          <w:szCs w:val="22"/>
        </w:rPr>
        <w:t xml:space="preserve"> pesos como se detalla enseguida:</w:t>
      </w:r>
      <w:r w:rsidRPr="004F06F2">
        <w:rPr>
          <w:rFonts w:ascii="Arial" w:hAnsi="Arial" w:cs="Arial"/>
          <w:color w:val="000000"/>
          <w:sz w:val="22"/>
          <w:szCs w:val="22"/>
        </w:rPr>
        <w:t xml:space="preserve"> </w:t>
      </w:r>
    </w:p>
    <w:p w14:paraId="018F2EC0" w14:textId="77777777" w:rsidR="002B0869" w:rsidRDefault="002B0869" w:rsidP="002B0869">
      <w:pPr>
        <w:rPr>
          <w:rFonts w:ascii="Arial" w:hAnsi="Arial" w:cs="Arial"/>
          <w:color w:val="000000"/>
          <w:sz w:val="22"/>
          <w:szCs w:val="22"/>
        </w:rPr>
      </w:pPr>
      <w:r w:rsidRPr="005F2267">
        <w:rPr>
          <w:noProof/>
          <w:lang w:val="es-MX" w:eastAsia="es-MX"/>
        </w:rPr>
        <w:drawing>
          <wp:inline distT="0" distB="0" distL="0" distR="0" wp14:anchorId="7F048CF5" wp14:editId="6CA09501">
            <wp:extent cx="6334125" cy="106680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7446" cy="1067359"/>
                    </a:xfrm>
                    <a:prstGeom prst="rect">
                      <a:avLst/>
                    </a:prstGeom>
                    <a:noFill/>
                    <a:ln>
                      <a:noFill/>
                    </a:ln>
                  </pic:spPr>
                </pic:pic>
              </a:graphicData>
            </a:graphic>
          </wp:inline>
        </w:drawing>
      </w:r>
    </w:p>
    <w:p w14:paraId="6D013A8A" w14:textId="77777777" w:rsidR="002B0869" w:rsidRPr="005C28AA" w:rsidRDefault="002B0869" w:rsidP="002B0869">
      <w:pPr>
        <w:rPr>
          <w:rFonts w:ascii="Arial" w:hAnsi="Arial" w:cs="Arial"/>
          <w:color w:val="000000"/>
          <w:sz w:val="22"/>
          <w:szCs w:val="22"/>
        </w:rPr>
      </w:pPr>
    </w:p>
    <w:p w14:paraId="632FA237" w14:textId="77777777" w:rsidR="002B0869" w:rsidRPr="004F06F2" w:rsidRDefault="002B0869" w:rsidP="002B0869">
      <w:pPr>
        <w:spacing w:before="120" w:after="120"/>
        <w:rPr>
          <w:rFonts w:eastAsia="Calibri" w:cs="Times New Roman"/>
          <w:sz w:val="22"/>
          <w:szCs w:val="22"/>
        </w:rPr>
      </w:pPr>
      <w:r w:rsidRPr="004F06F2">
        <w:rPr>
          <w:rFonts w:eastAsia="Calibri" w:cs="Times New Roman"/>
          <w:sz w:val="22"/>
          <w:szCs w:val="22"/>
        </w:rPr>
        <w:t>A continuación, se explican aquellas cuentas del gasto que en lo individual representan el 10% o más del gasto total, siendo las más representativas las siguientes:</w:t>
      </w:r>
    </w:p>
    <w:p w14:paraId="356EF485" w14:textId="77777777" w:rsidR="002B0869" w:rsidRPr="004F06F2" w:rsidRDefault="002B0869" w:rsidP="002B0869">
      <w:pPr>
        <w:spacing w:before="120" w:after="120"/>
        <w:rPr>
          <w:rFonts w:eastAsia="Calibri" w:cs="Times New Roman"/>
          <w:sz w:val="22"/>
          <w:szCs w:val="22"/>
        </w:rPr>
      </w:pPr>
      <w:r w:rsidRPr="004F06F2">
        <w:rPr>
          <w:rFonts w:eastAsia="Calibri" w:cs="Times New Roman"/>
          <w:b/>
          <w:sz w:val="22"/>
          <w:szCs w:val="22"/>
        </w:rPr>
        <w:t>Servicios Personales</w:t>
      </w:r>
      <w:r w:rsidRPr="004F06F2">
        <w:rPr>
          <w:rFonts w:eastAsia="Calibri" w:cs="Times New Roman"/>
          <w:sz w:val="22"/>
          <w:szCs w:val="22"/>
        </w:rPr>
        <w:t xml:space="preserve">: </w:t>
      </w:r>
      <w:r w:rsidRPr="00FA7516">
        <w:rPr>
          <w:rFonts w:eastAsia="Calibri" w:cs="Times New Roman"/>
          <w:sz w:val="22"/>
          <w:szCs w:val="22"/>
        </w:rPr>
        <w:t>Representa el 36% y</w:t>
      </w:r>
      <w:r w:rsidRPr="004F06F2">
        <w:rPr>
          <w:rFonts w:eastAsia="Calibri" w:cs="Times New Roman"/>
          <w:sz w:val="22"/>
          <w:szCs w:val="22"/>
        </w:rPr>
        <w:t xml:space="preserve"> agrupa las remuneraciones del </w:t>
      </w:r>
      <w:r w:rsidRPr="004F06F2">
        <w:rPr>
          <w:rFonts w:eastAsia="Calibri" w:cs="Times New Roman"/>
          <w:bCs/>
          <w:sz w:val="22"/>
          <w:szCs w:val="22"/>
        </w:rPr>
        <w:t>personal</w:t>
      </w:r>
      <w:r w:rsidRPr="004F06F2">
        <w:rPr>
          <w:rFonts w:eastAsia="Calibri" w:cs="Times New Roman"/>
          <w:sz w:val="22"/>
          <w:szCs w:val="22"/>
        </w:rPr>
        <w:t xml:space="preserve"> al servicio de los entes públicos, tales como: sueldos, salarios, honorarios asimilables al salario, prestaciones y gastos de seguridad social, obligaciones laborales y otras prestaciones derivadas de una relación laboral; pudiendo ser de carácter permanente o transitorio. </w:t>
      </w:r>
    </w:p>
    <w:p w14:paraId="7CA7524D" w14:textId="77777777" w:rsidR="002B0869" w:rsidRPr="004F06F2" w:rsidRDefault="002B0869" w:rsidP="002B0869">
      <w:pPr>
        <w:spacing w:before="120" w:after="120"/>
        <w:rPr>
          <w:rFonts w:eastAsia="Calibri" w:cs="Times New Roman"/>
          <w:sz w:val="22"/>
          <w:szCs w:val="22"/>
        </w:rPr>
      </w:pPr>
      <w:r w:rsidRPr="004F06F2">
        <w:rPr>
          <w:rFonts w:eastAsia="Calibri" w:cs="Times New Roman"/>
          <w:b/>
          <w:sz w:val="22"/>
          <w:szCs w:val="22"/>
        </w:rPr>
        <w:t>Transferencias, Asignaciones, Subsidios y Otras Ayudas</w:t>
      </w:r>
      <w:r w:rsidRPr="00FA7516">
        <w:rPr>
          <w:rFonts w:eastAsia="Calibri" w:cs="Times New Roman"/>
          <w:b/>
          <w:sz w:val="22"/>
          <w:szCs w:val="22"/>
        </w:rPr>
        <w:t>:</w:t>
      </w:r>
      <w:r w:rsidRPr="00FA7516">
        <w:rPr>
          <w:rFonts w:eastAsia="Calibri" w:cs="Times New Roman"/>
          <w:sz w:val="22"/>
          <w:szCs w:val="22"/>
        </w:rPr>
        <w:t xml:space="preserve"> El 35%</w:t>
      </w:r>
      <w:r w:rsidRPr="004F06F2">
        <w:rPr>
          <w:rFonts w:eastAsia="Calibri" w:cs="Times New Roman"/>
          <w:sz w:val="22"/>
          <w:szCs w:val="22"/>
        </w:rPr>
        <w:t xml:space="preserve"> del gasto que se destinó, a los entes públicos contenidos en el Presupuesto de Egresos con el objeto de sufragar gastos inherentes a sus atribuciones.</w:t>
      </w:r>
    </w:p>
    <w:p w14:paraId="3A0D58D2" w14:textId="77777777" w:rsidR="002B0869" w:rsidRPr="004F06F2" w:rsidRDefault="002B0869" w:rsidP="002B0869">
      <w:pPr>
        <w:spacing w:before="0" w:after="0"/>
        <w:rPr>
          <w:rFonts w:eastAsia="Calibri" w:cs="Times New Roman"/>
          <w:sz w:val="22"/>
          <w:szCs w:val="22"/>
        </w:rPr>
      </w:pPr>
      <w:r w:rsidRPr="004F06F2">
        <w:rPr>
          <w:rFonts w:eastAsia="Calibri" w:cs="Times New Roman"/>
          <w:b/>
          <w:sz w:val="22"/>
          <w:szCs w:val="22"/>
        </w:rPr>
        <w:t>Participaciones y Aportaciones</w:t>
      </w:r>
      <w:r w:rsidRPr="004F06F2">
        <w:rPr>
          <w:rFonts w:eastAsia="Calibri" w:cs="Times New Roman"/>
          <w:sz w:val="22"/>
          <w:szCs w:val="22"/>
        </w:rPr>
        <w:t xml:space="preserve">: Las erogaciones con cargo a este apartado, </w:t>
      </w:r>
      <w:r w:rsidRPr="00FA7516">
        <w:rPr>
          <w:rFonts w:eastAsia="Calibri" w:cs="Times New Roman"/>
          <w:sz w:val="22"/>
          <w:szCs w:val="22"/>
        </w:rPr>
        <w:t>representan el 20%</w:t>
      </w:r>
      <w:r w:rsidRPr="004F06F2">
        <w:rPr>
          <w:rFonts w:eastAsia="Calibri" w:cs="Times New Roman"/>
          <w:sz w:val="22"/>
          <w:szCs w:val="22"/>
        </w:rPr>
        <w:t xml:space="preserve"> del gasto total y se refiere a recursos que corresponden a los Estados y Municipios que se derivan del Sistema Nacional de Coordinación Fiscal, de conformidad a lo establecido por los capítulos I, II, III y IV de la Ley de Coordinación Fiscal, así como las que corresponden a sistemas estatales de coordinación fiscal determinados por las leyes correspondientes.</w:t>
      </w:r>
    </w:p>
    <w:p w14:paraId="2D154C14" w14:textId="77777777" w:rsidR="002B0869" w:rsidRDefault="002B0869" w:rsidP="002B0869">
      <w:pPr>
        <w:spacing w:before="0" w:after="0"/>
        <w:jc w:val="left"/>
        <w:rPr>
          <w:rFonts w:eastAsia="Calibri" w:cs="Times New Roman"/>
          <w:b/>
        </w:rPr>
      </w:pPr>
    </w:p>
    <w:p w14:paraId="2514624D" w14:textId="77777777" w:rsidR="002B0869" w:rsidRPr="004F06F2" w:rsidRDefault="002B0869" w:rsidP="002B0869">
      <w:pPr>
        <w:spacing w:before="0" w:after="0"/>
        <w:jc w:val="left"/>
        <w:rPr>
          <w:rFonts w:eastAsia="Calibri" w:cs="Times New Roman"/>
          <w:b/>
        </w:rPr>
      </w:pPr>
      <w:r w:rsidRPr="004F06F2">
        <w:rPr>
          <w:rFonts w:eastAsia="Calibri" w:cs="Times New Roman"/>
          <w:b/>
        </w:rPr>
        <w:lastRenderedPageBreak/>
        <w:t>II). NOTAS AL ESTADO DE SITUACIÓN FINANCIERA</w:t>
      </w:r>
    </w:p>
    <w:p w14:paraId="1A0BDEF2" w14:textId="77777777" w:rsidR="002B0869" w:rsidRPr="004F06F2" w:rsidRDefault="002B0869" w:rsidP="002B0869">
      <w:pPr>
        <w:spacing w:before="0" w:after="0"/>
        <w:jc w:val="left"/>
        <w:rPr>
          <w:rFonts w:eastAsia="Calibri" w:cs="Times New Roman"/>
          <w:b/>
        </w:rPr>
      </w:pPr>
    </w:p>
    <w:p w14:paraId="54749B84" w14:textId="77777777" w:rsidR="002B0869" w:rsidRPr="004F06F2" w:rsidRDefault="002B0869" w:rsidP="002B0869">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ACTIVO </w:t>
      </w:r>
    </w:p>
    <w:p w14:paraId="187EFA3C" w14:textId="77777777" w:rsidR="002B0869" w:rsidRPr="004F06F2" w:rsidRDefault="002B0869" w:rsidP="002B0869">
      <w:pPr>
        <w:spacing w:before="0" w:after="0"/>
        <w:rPr>
          <w:rFonts w:eastAsia="Times New Roman" w:cs="Times New Roman"/>
          <w:b/>
          <w:color w:val="000000"/>
          <w:sz w:val="22"/>
          <w:szCs w:val="22"/>
          <w:lang w:eastAsia="es-MX"/>
        </w:rPr>
      </w:pPr>
    </w:p>
    <w:p w14:paraId="5A529D1F" w14:textId="77777777" w:rsidR="002B0869" w:rsidRPr="004F06F2" w:rsidRDefault="002B0869" w:rsidP="002B0869">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 EFECTIVO Y EQUIVALENTES</w:t>
      </w:r>
    </w:p>
    <w:p w14:paraId="2E62997C" w14:textId="77777777" w:rsidR="002B0869" w:rsidRPr="004F06F2" w:rsidRDefault="002B0869" w:rsidP="002B0869">
      <w:pPr>
        <w:spacing w:before="0" w:after="0"/>
        <w:rPr>
          <w:rFonts w:eastAsia="Times New Roman" w:cs="Times New Roman"/>
          <w:color w:val="000000"/>
          <w:sz w:val="22"/>
          <w:szCs w:val="22"/>
          <w:lang w:eastAsia="es-MX"/>
        </w:rPr>
      </w:pPr>
    </w:p>
    <w:p w14:paraId="17A7011E" w14:textId="77777777" w:rsidR="002B0869" w:rsidRPr="004F06F2" w:rsidRDefault="002B0869" w:rsidP="002B0869">
      <w:pPr>
        <w:spacing w:before="0" w:after="0"/>
        <w:rPr>
          <w:rFonts w:eastAsia="Times New Roman" w:cs="Times New Roman"/>
          <w:color w:val="000000"/>
          <w:sz w:val="22"/>
          <w:szCs w:val="22"/>
          <w:lang w:eastAsia="es-MX"/>
        </w:rPr>
      </w:pPr>
      <w:r w:rsidRPr="00FA7516">
        <w:rPr>
          <w:rFonts w:eastAsia="Times New Roman" w:cs="Times New Roman"/>
          <w:color w:val="000000"/>
          <w:sz w:val="22"/>
          <w:szCs w:val="22"/>
          <w:lang w:eastAsia="es-MX"/>
        </w:rPr>
        <w:t>El saldo de 4 mil 5</w:t>
      </w:r>
      <w:r>
        <w:rPr>
          <w:rFonts w:eastAsia="Times New Roman" w:cs="Times New Roman"/>
          <w:color w:val="000000"/>
          <w:sz w:val="22"/>
          <w:szCs w:val="22"/>
          <w:lang w:eastAsia="es-MX"/>
        </w:rPr>
        <w:t>52</w:t>
      </w:r>
      <w:r w:rsidRPr="00FA7516">
        <w:rPr>
          <w:rFonts w:eastAsia="Times New Roman" w:cs="Times New Roman"/>
          <w:color w:val="000000"/>
          <w:sz w:val="22"/>
          <w:szCs w:val="22"/>
          <w:lang w:eastAsia="es-MX"/>
        </w:rPr>
        <w:t xml:space="preserve"> millones </w:t>
      </w:r>
      <w:r>
        <w:rPr>
          <w:rFonts w:eastAsia="Times New Roman" w:cs="Times New Roman"/>
          <w:color w:val="000000"/>
          <w:sz w:val="22"/>
          <w:szCs w:val="22"/>
          <w:lang w:eastAsia="es-MX"/>
        </w:rPr>
        <w:t>410</w:t>
      </w:r>
      <w:r w:rsidRPr="00FA7516">
        <w:rPr>
          <w:rFonts w:eastAsia="Times New Roman" w:cs="Times New Roman"/>
          <w:color w:val="000000"/>
          <w:sz w:val="22"/>
          <w:szCs w:val="22"/>
          <w:lang w:eastAsia="es-MX"/>
        </w:rPr>
        <w:t xml:space="preserve"> mil </w:t>
      </w:r>
      <w:r>
        <w:rPr>
          <w:rFonts w:eastAsia="Times New Roman" w:cs="Times New Roman"/>
          <w:color w:val="000000"/>
          <w:sz w:val="22"/>
          <w:szCs w:val="22"/>
          <w:lang w:eastAsia="es-MX"/>
        </w:rPr>
        <w:t>493</w:t>
      </w:r>
      <w:r w:rsidRPr="00FA7516">
        <w:rPr>
          <w:rFonts w:eastAsia="Times New Roman" w:cs="Times New Roman"/>
          <w:color w:val="000000"/>
          <w:sz w:val="22"/>
          <w:szCs w:val="22"/>
          <w:lang w:eastAsia="es-MX"/>
        </w:rPr>
        <w:t xml:space="preserve"> pesos</w:t>
      </w:r>
      <w:r w:rsidRPr="004F06F2">
        <w:rPr>
          <w:rFonts w:eastAsia="Times New Roman" w:cs="Times New Roman"/>
          <w:color w:val="000000"/>
          <w:sz w:val="22"/>
          <w:szCs w:val="22"/>
          <w:lang w:eastAsia="es-MX"/>
        </w:rPr>
        <w:t xml:space="preserve">, representa los recursos en efectivo y cuentas bancarias propiedad del Gobierno del Estado, así como en inversiones temporales recuperables, en donde se encuentran recursos pendientes de aplicar de convenios y fondos federales, que se harán de conformidad con las reglas de cada uno de ellos, y en el pago a Proveedores, Terceros Institucionales, Impuesto Sobre la Renta Retenido y Cuotas y Aportaciones Patronales. </w:t>
      </w:r>
    </w:p>
    <w:p w14:paraId="7CE291EB" w14:textId="77777777" w:rsidR="002B0869" w:rsidRPr="004F06F2" w:rsidRDefault="002B0869" w:rsidP="002B0869">
      <w:pPr>
        <w:spacing w:before="0" w:after="0"/>
        <w:rPr>
          <w:rFonts w:eastAsia="Times New Roman" w:cs="Times New Roman"/>
          <w:color w:val="000000"/>
          <w:sz w:val="22"/>
          <w:szCs w:val="22"/>
          <w:lang w:eastAsia="es-MX"/>
        </w:rPr>
      </w:pPr>
    </w:p>
    <w:p w14:paraId="1B04E327"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Su integración detallada es la siguiente:</w:t>
      </w:r>
    </w:p>
    <w:p w14:paraId="258B0F89"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678126E5" wp14:editId="60BE0FCF">
            <wp:extent cx="6315071" cy="847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1532" cy="849935"/>
                    </a:xfrm>
                    <a:prstGeom prst="rect">
                      <a:avLst/>
                    </a:prstGeom>
                    <a:noFill/>
                    <a:ln>
                      <a:noFill/>
                    </a:ln>
                  </pic:spPr>
                </pic:pic>
              </a:graphicData>
            </a:graphic>
          </wp:inline>
        </w:drawing>
      </w:r>
    </w:p>
    <w:p w14:paraId="62DFAF5E"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p>
    <w:p w14:paraId="3A57969F"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FA7516">
        <w:rPr>
          <w:rFonts w:eastAsia="Times New Roman" w:cs="Times New Roman"/>
          <w:color w:val="000000"/>
          <w:sz w:val="22"/>
          <w:szCs w:val="22"/>
          <w:lang w:eastAsia="es-MX"/>
        </w:rPr>
        <w:t>Representa el 48%</w:t>
      </w:r>
      <w:r>
        <w:rPr>
          <w:rFonts w:eastAsia="Times New Roman" w:cs="Times New Roman"/>
          <w:color w:val="000000"/>
          <w:sz w:val="22"/>
          <w:szCs w:val="22"/>
          <w:lang w:eastAsia="es-MX"/>
        </w:rPr>
        <w:t xml:space="preserve"> del activo circulante y dicho rubro está compuesto principalmente por las inversiones temporales y los fondos con aportaciones especificas siendo los segundos mencionados mayores a los primeros.</w:t>
      </w:r>
    </w:p>
    <w:p w14:paraId="4D3A13B3"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p>
    <w:p w14:paraId="48128DDF"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5F2E37">
        <w:rPr>
          <w:rFonts w:eastAsia="Times New Roman" w:cs="Times New Roman"/>
          <w:color w:val="000000"/>
          <w:sz w:val="22"/>
          <w:szCs w:val="22"/>
          <w:lang w:eastAsia="es-MX"/>
        </w:rPr>
        <w:t>En este sentido, se destacan las cuentas bancarias de fondos específicos por convenios o fondos federales, del ejercicio 2025, que cuentan con los saldos siguientes:</w:t>
      </w:r>
    </w:p>
    <w:p w14:paraId="0AD987AB"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5F2E37">
        <w:rPr>
          <w:noProof/>
          <w:lang w:val="es-MX" w:eastAsia="es-MX"/>
        </w:rPr>
        <w:lastRenderedPageBreak/>
        <w:drawing>
          <wp:inline distT="0" distB="0" distL="0" distR="0" wp14:anchorId="76715243" wp14:editId="746DBAEA">
            <wp:extent cx="6696075" cy="55721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96246" cy="5572267"/>
                    </a:xfrm>
                    <a:prstGeom prst="rect">
                      <a:avLst/>
                    </a:prstGeom>
                    <a:noFill/>
                    <a:ln>
                      <a:noFill/>
                    </a:ln>
                  </pic:spPr>
                </pic:pic>
              </a:graphicData>
            </a:graphic>
          </wp:inline>
        </w:drawing>
      </w:r>
    </w:p>
    <w:p w14:paraId="563674ED"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02307EB8"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197A0B6C"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119E4B39"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00B87791"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3FCFAF72"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1D8A83FB"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65F5F1C6"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7A14F903"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11A1E393"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0AA43F12" w14:textId="77777777" w:rsidR="002B0869" w:rsidRDefault="002B0869" w:rsidP="002B0869">
      <w:pPr>
        <w:widowControl w:val="0"/>
        <w:kinsoku w:val="0"/>
        <w:spacing w:before="0" w:after="0"/>
        <w:contextualSpacing/>
        <w:rPr>
          <w:rFonts w:eastAsia="Times New Roman" w:cs="Times New Roman"/>
          <w:color w:val="000000"/>
          <w:sz w:val="22"/>
          <w:szCs w:val="22"/>
          <w:highlight w:val="darkGray"/>
          <w:lang w:eastAsia="es-MX"/>
        </w:rPr>
      </w:pPr>
    </w:p>
    <w:p w14:paraId="5A143FA6"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B47784">
        <w:rPr>
          <w:rFonts w:eastAsia="Times New Roman" w:cs="Times New Roman"/>
          <w:color w:val="000000"/>
          <w:sz w:val="22"/>
          <w:szCs w:val="22"/>
          <w:lang w:eastAsia="es-MX"/>
        </w:rPr>
        <w:lastRenderedPageBreak/>
        <w:t>De las Inversiones a corto plazo se revelan por su tipo y monto en el siguiente cuadro:</w:t>
      </w:r>
    </w:p>
    <w:p w14:paraId="55DAA04A"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B47784">
        <w:rPr>
          <w:noProof/>
          <w:lang w:val="es-MX" w:eastAsia="es-MX"/>
        </w:rPr>
        <w:drawing>
          <wp:inline distT="0" distB="0" distL="0" distR="0" wp14:anchorId="30A89679" wp14:editId="4EA17659">
            <wp:extent cx="6351270" cy="1666918"/>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1270" cy="1666918"/>
                    </a:xfrm>
                    <a:prstGeom prst="rect">
                      <a:avLst/>
                    </a:prstGeom>
                    <a:noFill/>
                    <a:ln>
                      <a:noFill/>
                    </a:ln>
                  </pic:spPr>
                </pic:pic>
              </a:graphicData>
            </a:graphic>
          </wp:inline>
        </w:drawing>
      </w:r>
    </w:p>
    <w:p w14:paraId="3F4420AF" w14:textId="77777777" w:rsidR="002B0869" w:rsidRDefault="002B0869" w:rsidP="002B0869">
      <w:pPr>
        <w:spacing w:before="0" w:after="0"/>
        <w:rPr>
          <w:rFonts w:eastAsia="Times New Roman" w:cs="Times New Roman"/>
          <w:b/>
          <w:color w:val="000000"/>
          <w:sz w:val="22"/>
          <w:szCs w:val="22"/>
          <w:lang w:eastAsia="es-MX"/>
        </w:rPr>
      </w:pPr>
    </w:p>
    <w:p w14:paraId="33A69F55" w14:textId="77777777" w:rsidR="002B0869" w:rsidRPr="004F06F2" w:rsidRDefault="002B0869" w:rsidP="002B0869">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DERECHOS A RECIBIR EFECTIVO O EQUIVALENTES</w:t>
      </w:r>
    </w:p>
    <w:p w14:paraId="1A3B5DD7" w14:textId="77777777" w:rsidR="002B0869" w:rsidRPr="004F06F2" w:rsidRDefault="002B0869" w:rsidP="002B0869">
      <w:pPr>
        <w:spacing w:before="0" w:after="0"/>
        <w:rPr>
          <w:rFonts w:ascii="Arial" w:eastAsia="Times New Roman" w:hAnsi="Arial" w:cs="Arial"/>
          <w:b/>
          <w:bCs/>
          <w:color w:val="000000"/>
          <w:sz w:val="22"/>
          <w:szCs w:val="22"/>
          <w:lang w:eastAsia="es-MX"/>
        </w:rPr>
      </w:pPr>
    </w:p>
    <w:p w14:paraId="728BD266" w14:textId="77777777" w:rsidR="002B0869" w:rsidRPr="004F06F2" w:rsidRDefault="002B0869" w:rsidP="002B0869">
      <w:pPr>
        <w:spacing w:before="0" w:after="0"/>
        <w:rPr>
          <w:rFonts w:eastAsia="Times New Roman" w:cs="Times New Roman"/>
          <w:b/>
          <w:bCs/>
          <w:color w:val="000000"/>
          <w:sz w:val="22"/>
          <w:szCs w:val="22"/>
          <w:lang w:eastAsia="es-MX"/>
        </w:rPr>
      </w:pPr>
      <w:r w:rsidRPr="00C73D44">
        <w:rPr>
          <w:rFonts w:eastAsia="Times New Roman" w:cs="Times New Roman"/>
          <w:b/>
          <w:bCs/>
          <w:color w:val="000000"/>
          <w:sz w:val="22"/>
          <w:szCs w:val="22"/>
          <w:lang w:eastAsia="es-MX"/>
        </w:rPr>
        <w:t>2. CUENTAS PENDIENTES DE COBRO</w:t>
      </w:r>
    </w:p>
    <w:p w14:paraId="79139653" w14:textId="77777777" w:rsidR="002B0869" w:rsidRPr="004F06F2" w:rsidRDefault="002B0869" w:rsidP="002B0869">
      <w:pPr>
        <w:spacing w:before="0" w:after="0"/>
        <w:rPr>
          <w:rFonts w:eastAsia="Times New Roman" w:cs="Times New Roman"/>
          <w:b/>
          <w:bCs/>
          <w:color w:val="000000"/>
          <w:sz w:val="22"/>
          <w:szCs w:val="22"/>
          <w:lang w:eastAsia="es-MX"/>
        </w:rPr>
      </w:pPr>
    </w:p>
    <w:p w14:paraId="7F7AF758" w14:textId="77777777" w:rsidR="002B0869" w:rsidRPr="004F06F2" w:rsidRDefault="002B0869" w:rsidP="002B0869">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rubro de cuentas por cobrar se encuentra en proceso de depuración, sin embargo, se destacan los montos, hasta cinco años, de los procesos judiciales de cobro y por responsabilidades administrativas.</w:t>
      </w:r>
    </w:p>
    <w:p w14:paraId="2B6FDB4A" w14:textId="77777777" w:rsidR="002B0869" w:rsidRDefault="002B0869" w:rsidP="002B0869">
      <w:pPr>
        <w:spacing w:before="0" w:after="0"/>
        <w:jc w:val="center"/>
        <w:rPr>
          <w:rFonts w:eastAsia="Times New Roman" w:cs="Times New Roman"/>
          <w:color w:val="000000"/>
          <w:sz w:val="22"/>
          <w:szCs w:val="22"/>
          <w:lang w:eastAsia="es-MX"/>
        </w:rPr>
      </w:pPr>
      <w:r w:rsidRPr="002174C1">
        <w:rPr>
          <w:noProof/>
          <w:lang w:val="es-MX" w:eastAsia="es-MX"/>
        </w:rPr>
        <w:drawing>
          <wp:inline distT="0" distB="0" distL="0" distR="0" wp14:anchorId="23461EBB" wp14:editId="5415C313">
            <wp:extent cx="2092325" cy="1631315"/>
            <wp:effectExtent l="0" t="0" r="3175" b="6985"/>
            <wp:docPr id="74557969" name="Imagen 7455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2325" cy="1631315"/>
                    </a:xfrm>
                    <a:prstGeom prst="rect">
                      <a:avLst/>
                    </a:prstGeom>
                    <a:noFill/>
                    <a:ln>
                      <a:noFill/>
                    </a:ln>
                  </pic:spPr>
                </pic:pic>
              </a:graphicData>
            </a:graphic>
          </wp:inline>
        </w:drawing>
      </w:r>
    </w:p>
    <w:p w14:paraId="7D3C6425" w14:textId="77777777" w:rsidR="002B0869" w:rsidRPr="004F06F2" w:rsidRDefault="002B0869" w:rsidP="002B0869">
      <w:pPr>
        <w:spacing w:before="0" w:after="0"/>
        <w:jc w:val="center"/>
        <w:rPr>
          <w:rFonts w:eastAsia="Times New Roman" w:cs="Times New Roman"/>
          <w:color w:val="000000"/>
          <w:sz w:val="22"/>
          <w:szCs w:val="22"/>
          <w:lang w:eastAsia="es-MX"/>
        </w:rPr>
      </w:pPr>
    </w:p>
    <w:p w14:paraId="10DADD79" w14:textId="77777777" w:rsidR="002B0869" w:rsidRPr="004F06F2" w:rsidRDefault="002B0869" w:rsidP="002B0869">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3. POR TIPO DE CONTRIBUCIÓN</w:t>
      </w:r>
    </w:p>
    <w:p w14:paraId="376F3284"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El saldo del rubro al 30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por </w:t>
      </w:r>
      <w:r w:rsidRPr="00FA7516">
        <w:rPr>
          <w:rFonts w:eastAsia="Times New Roman" w:cs="Times New Roman"/>
          <w:color w:val="000000"/>
          <w:sz w:val="22"/>
          <w:szCs w:val="22"/>
          <w:lang w:eastAsia="es-MX"/>
        </w:rPr>
        <w:t xml:space="preserve">3 mil 756 millones 413 mil </w:t>
      </w:r>
      <w:r>
        <w:rPr>
          <w:rFonts w:eastAsia="Times New Roman" w:cs="Times New Roman"/>
          <w:color w:val="000000"/>
          <w:sz w:val="22"/>
          <w:szCs w:val="22"/>
          <w:lang w:eastAsia="es-MX"/>
        </w:rPr>
        <w:t>453</w:t>
      </w:r>
      <w:r w:rsidRPr="004F06F2">
        <w:rPr>
          <w:rFonts w:eastAsia="Times New Roman" w:cs="Times New Roman"/>
          <w:color w:val="000000"/>
          <w:sz w:val="22"/>
          <w:szCs w:val="22"/>
          <w:lang w:eastAsia="es-MX"/>
        </w:rPr>
        <w:t xml:space="preserve"> pesos, se encuentra integrado por diversas cuentas cuya característica es que son recuperables en el corto plazo originados en el desarrollo en las actividades de los Entes Públicos, por las cuales se espera recibir una contraprestación representada en recursos</w:t>
      </w:r>
      <w:r w:rsidRPr="008F2B8A">
        <w:rPr>
          <w:rFonts w:eastAsia="Times New Roman" w:cs="Times New Roman"/>
          <w:color w:val="000000"/>
          <w:sz w:val="22"/>
          <w:szCs w:val="22"/>
          <w:lang w:eastAsia="es-MX"/>
        </w:rPr>
        <w:t>, bienes o servicio</w:t>
      </w:r>
      <w:r w:rsidRPr="004F06F2">
        <w:rPr>
          <w:rFonts w:eastAsia="Times New Roman" w:cs="Times New Roman"/>
          <w:color w:val="000000"/>
          <w:sz w:val="22"/>
          <w:szCs w:val="22"/>
          <w:lang w:eastAsia="es-MX"/>
        </w:rPr>
        <w:t xml:space="preserve">, es decir, que aun cuando no son efectivo, serán recuperables en el transcurso del año, a </w:t>
      </w:r>
      <w:r w:rsidRPr="004F06F2">
        <w:rPr>
          <w:rFonts w:eastAsia="Times New Roman" w:cs="Times New Roman"/>
          <w:color w:val="000000"/>
          <w:sz w:val="22"/>
          <w:szCs w:val="22"/>
          <w:lang w:eastAsia="es-MX"/>
        </w:rPr>
        <w:lastRenderedPageBreak/>
        <w:t>continuación, se muestra su integración:</w:t>
      </w:r>
    </w:p>
    <w:p w14:paraId="3FF1B756"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61E99341" wp14:editId="58C31F45">
            <wp:extent cx="6286500" cy="895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8806" cy="895678"/>
                    </a:xfrm>
                    <a:prstGeom prst="rect">
                      <a:avLst/>
                    </a:prstGeom>
                    <a:noFill/>
                    <a:ln>
                      <a:noFill/>
                    </a:ln>
                  </pic:spPr>
                </pic:pic>
              </a:graphicData>
            </a:graphic>
          </wp:inline>
        </w:drawing>
      </w:r>
    </w:p>
    <w:p w14:paraId="37133FBA"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5093812B" wp14:editId="45CF2610">
            <wp:extent cx="6248400" cy="361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1006" cy="362680"/>
                    </a:xfrm>
                    <a:prstGeom prst="rect">
                      <a:avLst/>
                    </a:prstGeom>
                    <a:noFill/>
                    <a:ln>
                      <a:noFill/>
                    </a:ln>
                  </pic:spPr>
                </pic:pic>
              </a:graphicData>
            </a:graphic>
          </wp:inline>
        </w:drawing>
      </w:r>
    </w:p>
    <w:p w14:paraId="7880821B" w14:textId="77777777" w:rsidR="002B0869" w:rsidRPr="004F06F2" w:rsidRDefault="002B0869" w:rsidP="002B0869">
      <w:pPr>
        <w:widowControl w:val="0"/>
        <w:kinsoku w:val="0"/>
        <w:spacing w:before="120" w:after="120"/>
        <w:contextualSpacing/>
        <w:rPr>
          <w:rFonts w:eastAsia="Times New Roman" w:cs="Times New Roman"/>
          <w:b/>
          <w:color w:val="000000"/>
          <w:sz w:val="22"/>
          <w:szCs w:val="22"/>
          <w:lang w:eastAsia="es-MX"/>
        </w:rPr>
      </w:pPr>
    </w:p>
    <w:p w14:paraId="750C4735" w14:textId="77777777" w:rsidR="002B0869" w:rsidRPr="004F06F2" w:rsidRDefault="002B0869" w:rsidP="002B0869">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cobrar a corto plazo:</w:t>
      </w:r>
    </w:p>
    <w:p w14:paraId="7BCE3A6C" w14:textId="5BCE4CAD" w:rsidR="002B0869" w:rsidRPr="002B0869" w:rsidRDefault="002B0869" w:rsidP="002B0869">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Estas cuentas reflejan el saldo de los ingresos federales devengados a favor del Estado conforme a lo establecido por la Ley General de Contabilidad Gubernamental, que al cierre del trimestre se encuentran en trámite de recaudación.</w:t>
      </w:r>
    </w:p>
    <w:p w14:paraId="31A43EBE" w14:textId="77777777" w:rsidR="002B0869" w:rsidRPr="004F06F2" w:rsidRDefault="002B0869" w:rsidP="002B0869">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Deudores Diversos por cobrar a corto plazo: </w:t>
      </w:r>
    </w:p>
    <w:p w14:paraId="0507BC18" w14:textId="77777777" w:rsidR="002B0869" w:rsidRDefault="002B0869" w:rsidP="002B0869">
      <w:pPr>
        <w:widowControl w:val="0"/>
        <w:numPr>
          <w:ilvl w:val="0"/>
          <w:numId w:val="2"/>
        </w:numPr>
        <w:spacing w:before="0" w:after="0"/>
        <w:ind w:left="1495"/>
        <w:rPr>
          <w:rFonts w:eastAsia="Times New Roman" w:cs="Times New Roman"/>
          <w:sz w:val="22"/>
          <w:szCs w:val="22"/>
          <w:lang w:eastAsia="es-MX"/>
        </w:rPr>
      </w:pPr>
      <w:r w:rsidRPr="004F06F2">
        <w:rPr>
          <w:rFonts w:eastAsia="Times New Roman" w:cs="Times New Roman"/>
          <w:sz w:val="22"/>
          <w:szCs w:val="22"/>
          <w:lang w:eastAsia="es-MX"/>
        </w:rPr>
        <w:t xml:space="preserve">El saldo de este rubro, lo constituyen los préstamos que adeudan las distintas Unidades Programáticas Presupuestarias a cuenta de su presupuesto a través de documentos de pago provisionales y que no han regularizado, así mismo, se incluyen en este mismo rubro, los adeudos por descuentos que la Federación hace al Estado de sus participaciones Federales, por adeudos al Instituto Mexicano del Seguro Social y al </w:t>
      </w:r>
      <w:r w:rsidRPr="004F06F2">
        <w:rPr>
          <w:rFonts w:eastAsia="Calibri" w:cs="Times New Roman"/>
          <w:color w:val="000000"/>
          <w:sz w:val="22"/>
          <w:szCs w:val="22"/>
        </w:rPr>
        <w:t>Instituto de Seguridad y Servicios Sociales de los Trabajadores del Estado,</w:t>
      </w:r>
      <w:r w:rsidRPr="004F06F2">
        <w:rPr>
          <w:rFonts w:eastAsia="Times New Roman" w:cs="Times New Roman"/>
          <w:sz w:val="22"/>
          <w:szCs w:val="22"/>
          <w:lang w:eastAsia="es-MX"/>
        </w:rPr>
        <w:t xml:space="preserve"> de las entidades y municipios, y que al 3</w:t>
      </w:r>
      <w:r>
        <w:rPr>
          <w:rFonts w:eastAsia="Times New Roman" w:cs="Times New Roman"/>
          <w:sz w:val="22"/>
          <w:szCs w:val="22"/>
          <w:lang w:eastAsia="es-MX"/>
        </w:rPr>
        <w:t>0 de junio</w:t>
      </w:r>
      <w:r w:rsidRPr="004F06F2">
        <w:rPr>
          <w:rFonts w:eastAsia="Times New Roman" w:cs="Times New Roman"/>
          <w:sz w:val="22"/>
          <w:szCs w:val="22"/>
          <w:lang w:eastAsia="es-MX"/>
        </w:rPr>
        <w:t xml:space="preserve"> de 202</w:t>
      </w:r>
      <w:r>
        <w:rPr>
          <w:rFonts w:eastAsia="Times New Roman" w:cs="Times New Roman"/>
          <w:sz w:val="22"/>
          <w:szCs w:val="22"/>
          <w:lang w:eastAsia="es-MX"/>
        </w:rPr>
        <w:t>5</w:t>
      </w:r>
      <w:r w:rsidRPr="004F06F2">
        <w:rPr>
          <w:rFonts w:eastAsia="Times New Roman" w:cs="Times New Roman"/>
          <w:sz w:val="22"/>
          <w:szCs w:val="22"/>
          <w:lang w:eastAsia="es-MX"/>
        </w:rPr>
        <w:t xml:space="preserve"> no regularizaron, además, de los adeudos de terceros comerciales por concepto de cheques cancelados de nóminas.</w:t>
      </w:r>
    </w:p>
    <w:p w14:paraId="14C7999F" w14:textId="77777777" w:rsidR="002B0869" w:rsidRPr="004F06F2" w:rsidRDefault="002B0869" w:rsidP="002B0869">
      <w:pPr>
        <w:widowControl w:val="0"/>
        <w:spacing w:before="0" w:after="0"/>
        <w:ind w:left="1495"/>
        <w:rPr>
          <w:rFonts w:eastAsia="Times New Roman" w:cs="Times New Roman"/>
          <w:sz w:val="22"/>
          <w:szCs w:val="22"/>
          <w:lang w:eastAsia="es-MX"/>
        </w:rPr>
      </w:pPr>
    </w:p>
    <w:p w14:paraId="485D2561" w14:textId="77777777" w:rsidR="002B0869" w:rsidRDefault="002B0869" w:rsidP="002B0869">
      <w:pPr>
        <w:widowControl w:val="0"/>
        <w:numPr>
          <w:ilvl w:val="0"/>
          <w:numId w:val="2"/>
        </w:numPr>
        <w:spacing w:before="0" w:after="0"/>
        <w:ind w:left="1418" w:hanging="425"/>
        <w:rPr>
          <w:sz w:val="22"/>
          <w:szCs w:val="22"/>
        </w:rPr>
      </w:pPr>
      <w:r w:rsidRPr="004F06F2">
        <w:rPr>
          <w:rFonts w:eastAsia="Times New Roman" w:cs="Times New Roman"/>
          <w:sz w:val="22"/>
          <w:szCs w:val="22"/>
          <w:lang w:eastAsia="es-MX"/>
        </w:rPr>
        <w:t xml:space="preserve">En esta cuenta, se reflejan también los saldos de los recursos transferidos del Ramo 33 y de acuerdo con la Ley de Coordinación Fiscal, se entregan a las dependencias, entidades y organismos, para los programas establecidos para ese ramo específico y cuya aplicación se encuentra </w:t>
      </w:r>
      <w:r w:rsidRPr="004F06F2">
        <w:rPr>
          <w:rFonts w:eastAsia="Times New Roman" w:cs="Times New Roman"/>
          <w:sz w:val="22"/>
          <w:szCs w:val="22"/>
          <w:lang w:eastAsia="es-MX"/>
        </w:rPr>
        <w:lastRenderedPageBreak/>
        <w:t>pendiente de comprobar.</w:t>
      </w:r>
    </w:p>
    <w:p w14:paraId="386FD20E" w14:textId="77777777" w:rsidR="002B0869" w:rsidRPr="001D11EA" w:rsidRDefault="002B0869" w:rsidP="002B0869">
      <w:pPr>
        <w:pStyle w:val="Prrafodelista"/>
        <w:rPr>
          <w:sz w:val="22"/>
          <w:szCs w:val="22"/>
          <w:lang w:val="es-MX"/>
        </w:rPr>
      </w:pPr>
    </w:p>
    <w:p w14:paraId="34DA386E" w14:textId="77777777" w:rsidR="002B0869" w:rsidRPr="00B47784" w:rsidRDefault="002B0869" w:rsidP="002B0869">
      <w:pPr>
        <w:widowControl w:val="0"/>
        <w:spacing w:before="0" w:after="0"/>
        <w:ind w:left="1418"/>
        <w:rPr>
          <w:sz w:val="22"/>
          <w:szCs w:val="22"/>
        </w:rPr>
      </w:pPr>
    </w:p>
    <w:p w14:paraId="32B3A988" w14:textId="77777777" w:rsidR="002B0869" w:rsidRDefault="002B0869" w:rsidP="002B0869">
      <w:pPr>
        <w:widowControl w:val="0"/>
        <w:numPr>
          <w:ilvl w:val="0"/>
          <w:numId w:val="2"/>
        </w:numPr>
        <w:kinsoku w:val="0"/>
        <w:spacing w:before="0" w:after="0"/>
        <w:ind w:left="1418" w:hanging="425"/>
        <w:contextualSpacing/>
        <w:rPr>
          <w:rFonts w:eastAsia="Times New Roman" w:cs="Times New Roman"/>
          <w:sz w:val="22"/>
          <w:szCs w:val="22"/>
          <w:lang w:eastAsia="es-MX"/>
        </w:rPr>
      </w:pPr>
      <w:r w:rsidRPr="004F06F2">
        <w:rPr>
          <w:rFonts w:eastAsia="Times New Roman" w:cs="Times New Roman"/>
          <w:sz w:val="22"/>
          <w:szCs w:val="22"/>
          <w:lang w:eastAsia="es-MX"/>
        </w:rPr>
        <w:t>De igual manera, se registran en esta cuenta las responsabilidades pendientes de solventar por parte de los funcionarios de la Administración Pública Estatal, responsables de la recaudación y el manejo de fondos.</w:t>
      </w:r>
    </w:p>
    <w:p w14:paraId="317B8A84" w14:textId="77777777" w:rsidR="002B0869" w:rsidRPr="00693C3B" w:rsidRDefault="002B0869" w:rsidP="002B0869">
      <w:pPr>
        <w:widowControl w:val="0"/>
        <w:kinsoku w:val="0"/>
        <w:spacing w:before="0" w:after="0"/>
        <w:ind w:left="993"/>
        <w:contextualSpacing/>
        <w:rPr>
          <w:rFonts w:eastAsia="Times New Roman" w:cs="Times New Roman"/>
          <w:sz w:val="22"/>
          <w:szCs w:val="22"/>
          <w:lang w:eastAsia="es-MX"/>
        </w:rPr>
      </w:pPr>
    </w:p>
    <w:p w14:paraId="6B7DC810" w14:textId="77777777" w:rsidR="002B0869" w:rsidRPr="004F06F2" w:rsidRDefault="002B0869" w:rsidP="002B0869">
      <w:pPr>
        <w:widowControl w:val="0"/>
        <w:kinsoku w:val="0"/>
        <w:spacing w:before="120" w:after="12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Ingresos por recuperar a corto plazo:</w:t>
      </w:r>
    </w:p>
    <w:p w14:paraId="5370ED0C" w14:textId="77777777" w:rsidR="002B0869" w:rsidRDefault="002B0869" w:rsidP="002B0869">
      <w:pPr>
        <w:widowControl w:val="0"/>
        <w:numPr>
          <w:ilvl w:val="0"/>
          <w:numId w:val="2"/>
        </w:numPr>
        <w:spacing w:before="120" w:after="120"/>
        <w:ind w:left="1418" w:hanging="425"/>
        <w:rPr>
          <w:rFonts w:eastAsia="Times New Roman" w:cs="Times New Roman"/>
          <w:sz w:val="22"/>
          <w:szCs w:val="22"/>
          <w:lang w:eastAsia="es-MX"/>
        </w:rPr>
      </w:pPr>
      <w:r w:rsidRPr="004F06F2">
        <w:rPr>
          <w:rFonts w:eastAsia="Times New Roman" w:cs="Times New Roman"/>
          <w:sz w:val="22"/>
          <w:szCs w:val="22"/>
          <w:lang w:eastAsia="es-MX"/>
        </w:rPr>
        <w:t>Esta cuenta, refleja el saldo de los ingresos estatales devengados a favor del Estado conforme a lo establecido por la Ley General de Contabilidad Gubernamental que, al cierre del período, se encuentran en trámite de recaudación.</w:t>
      </w:r>
    </w:p>
    <w:p w14:paraId="2E42BA1B" w14:textId="77777777" w:rsidR="002B0869" w:rsidRPr="004F06F2" w:rsidRDefault="002B0869" w:rsidP="002B0869">
      <w:pPr>
        <w:widowControl w:val="0"/>
        <w:spacing w:before="120" w:after="120"/>
        <w:ind w:left="993"/>
        <w:rPr>
          <w:rFonts w:eastAsia="Times New Roman" w:cs="Times New Roman"/>
          <w:sz w:val="22"/>
          <w:szCs w:val="22"/>
          <w:lang w:eastAsia="es-MX"/>
        </w:rPr>
      </w:pPr>
    </w:p>
    <w:p w14:paraId="50EA61FE" w14:textId="77777777" w:rsidR="002B0869" w:rsidRPr="004F06F2" w:rsidRDefault="002B0869" w:rsidP="002B0869">
      <w:pPr>
        <w:widowControl w:val="0"/>
        <w:kinsoku w:val="0"/>
        <w:spacing w:before="0" w:after="0"/>
        <w:ind w:left="426"/>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Deudores por anticipos de Tesorería a corto plazo:</w:t>
      </w:r>
    </w:p>
    <w:p w14:paraId="4ABE325A" w14:textId="77777777" w:rsidR="002B0869" w:rsidRDefault="002B0869" w:rsidP="002B0869">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 xml:space="preserve">Corresponde a los fondos </w:t>
      </w:r>
      <w:proofErr w:type="spellStart"/>
      <w:r w:rsidRPr="004F06F2">
        <w:rPr>
          <w:rFonts w:ascii="GalanoGrotesque-Light" w:hAnsi="GalanoGrotesque-Light"/>
          <w:sz w:val="22"/>
          <w:szCs w:val="22"/>
          <w:lang w:val="es-MX"/>
        </w:rPr>
        <w:t>revolventes</w:t>
      </w:r>
      <w:proofErr w:type="spellEnd"/>
      <w:r w:rsidRPr="004F06F2">
        <w:rPr>
          <w:rFonts w:ascii="GalanoGrotesque-Light" w:hAnsi="GalanoGrotesque-Light"/>
          <w:sz w:val="22"/>
          <w:szCs w:val="22"/>
          <w:lang w:val="es-MX"/>
        </w:rPr>
        <w:t xml:space="preserve"> asignados a las dependencias para su operación.</w:t>
      </w:r>
    </w:p>
    <w:p w14:paraId="7D9E81CE" w14:textId="77777777" w:rsidR="002B0869" w:rsidRPr="0089015B" w:rsidRDefault="002B0869" w:rsidP="002B0869">
      <w:pPr>
        <w:ind w:left="1069"/>
        <w:rPr>
          <w:sz w:val="22"/>
          <w:szCs w:val="22"/>
          <w:lang w:val="es-MX"/>
        </w:rPr>
      </w:pPr>
    </w:p>
    <w:p w14:paraId="44E6B73E" w14:textId="77777777" w:rsidR="002B0869" w:rsidRPr="004F06F2" w:rsidRDefault="002B0869" w:rsidP="002B0869">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Préstamos otorgados a corto plazo:</w:t>
      </w:r>
    </w:p>
    <w:p w14:paraId="6210A5A8" w14:textId="77777777" w:rsidR="002B0869" w:rsidRDefault="002B0869" w:rsidP="002B0869">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Esta cuenta, representa los préstamos realizados a las dependencias del Gobierno del Estado y a los Municipios con problemas económicos, con cargo a sus participaciones federales.</w:t>
      </w:r>
    </w:p>
    <w:p w14:paraId="33AFF998" w14:textId="77777777" w:rsidR="002B0869" w:rsidRPr="0089015B" w:rsidRDefault="002B0869" w:rsidP="002B0869">
      <w:pPr>
        <w:ind w:left="1069"/>
        <w:rPr>
          <w:sz w:val="22"/>
          <w:szCs w:val="22"/>
          <w:lang w:val="es-MX"/>
        </w:rPr>
      </w:pPr>
    </w:p>
    <w:p w14:paraId="010714B7" w14:textId="77777777" w:rsidR="002B0869" w:rsidRPr="004F06F2" w:rsidRDefault="002B0869" w:rsidP="002B0869">
      <w:pPr>
        <w:widowControl w:val="0"/>
        <w:kinsoku w:val="0"/>
        <w:spacing w:before="0" w:after="0"/>
        <w:ind w:left="426"/>
        <w:contextualSpacing/>
        <w:rPr>
          <w:rFonts w:eastAsia="Times New Roman" w:cs="Times New Roman"/>
          <w:b/>
          <w:sz w:val="22"/>
          <w:szCs w:val="22"/>
          <w:lang w:eastAsia="es-MX"/>
        </w:rPr>
      </w:pPr>
      <w:r w:rsidRPr="004F06F2">
        <w:rPr>
          <w:rFonts w:eastAsia="Times New Roman" w:cs="Times New Roman"/>
          <w:b/>
          <w:sz w:val="22"/>
          <w:szCs w:val="22"/>
          <w:lang w:eastAsia="es-MX"/>
        </w:rPr>
        <w:t>Otros derechos a recibir efectivo o equivalentes a corto plazo:</w:t>
      </w:r>
    </w:p>
    <w:p w14:paraId="07B25174" w14:textId="77777777" w:rsidR="002B0869" w:rsidRPr="004F06F2" w:rsidRDefault="002B0869" w:rsidP="002B0869">
      <w:pPr>
        <w:pStyle w:val="Prrafodelista"/>
        <w:numPr>
          <w:ilvl w:val="0"/>
          <w:numId w:val="2"/>
        </w:numPr>
        <w:spacing w:line="360" w:lineRule="auto"/>
        <w:jc w:val="both"/>
        <w:rPr>
          <w:rFonts w:ascii="GalanoGrotesque-Light" w:hAnsi="GalanoGrotesque-Light"/>
          <w:sz w:val="22"/>
          <w:szCs w:val="22"/>
          <w:lang w:val="es-MX"/>
        </w:rPr>
      </w:pPr>
      <w:r w:rsidRPr="004F06F2">
        <w:rPr>
          <w:rFonts w:ascii="GalanoGrotesque-Light" w:hAnsi="GalanoGrotesque-Light"/>
          <w:sz w:val="22"/>
          <w:szCs w:val="22"/>
          <w:lang w:val="es-MX"/>
        </w:rPr>
        <w:t>Son los descuentos que la Federación ha realizado al Estado por conceptos de adeudos que los Municipios tienen con ella y que al vencimiento no fueron liquidados, así como de los pagos que el Estado realiza por cuenta de éstos por créditos avalados por las instituciones financieras.</w:t>
      </w:r>
    </w:p>
    <w:p w14:paraId="5EEB7F9E" w14:textId="77777777" w:rsidR="002B0869" w:rsidRPr="004F06F2" w:rsidRDefault="002B0869" w:rsidP="002B0869">
      <w:pPr>
        <w:rPr>
          <w:b/>
          <w:bCs/>
          <w:sz w:val="22"/>
          <w:szCs w:val="22"/>
          <w:lang w:val="es-MX"/>
        </w:rPr>
      </w:pPr>
    </w:p>
    <w:p w14:paraId="0B8BC9C0" w14:textId="77777777" w:rsidR="002B0869" w:rsidRPr="004F06F2" w:rsidRDefault="002B0869" w:rsidP="002B0869">
      <w:pPr>
        <w:rPr>
          <w:b/>
          <w:bCs/>
          <w:sz w:val="22"/>
          <w:szCs w:val="22"/>
          <w:lang w:val="es-MX"/>
        </w:rPr>
      </w:pPr>
      <w:r w:rsidRPr="004F06F2">
        <w:rPr>
          <w:b/>
          <w:bCs/>
          <w:sz w:val="22"/>
          <w:szCs w:val="22"/>
          <w:lang w:val="es-MX"/>
        </w:rPr>
        <w:lastRenderedPageBreak/>
        <w:t>BIENES DISPONIBLES PARA SU TRANSFORMACIÓN O CONSUMO (INVENTARIOS)</w:t>
      </w:r>
    </w:p>
    <w:p w14:paraId="0CC7716B" w14:textId="77777777" w:rsidR="002B0869" w:rsidRPr="004F06F2" w:rsidRDefault="002B0869" w:rsidP="002B0869">
      <w:pPr>
        <w:rPr>
          <w:b/>
          <w:bCs/>
          <w:sz w:val="22"/>
          <w:szCs w:val="22"/>
          <w:lang w:val="es-MX"/>
        </w:rPr>
      </w:pPr>
      <w:r w:rsidRPr="004F06F2">
        <w:rPr>
          <w:b/>
          <w:bCs/>
          <w:sz w:val="22"/>
          <w:szCs w:val="22"/>
          <w:lang w:val="es-MX"/>
        </w:rPr>
        <w:t>4.- BIENES DISPONIBLES PARA SU TRANSFORMACIÓN</w:t>
      </w:r>
    </w:p>
    <w:p w14:paraId="7E84700E" w14:textId="146065C3" w:rsidR="002B0869" w:rsidRDefault="002B0869" w:rsidP="002B0869">
      <w:pPr>
        <w:rPr>
          <w:sz w:val="22"/>
          <w:szCs w:val="22"/>
          <w:lang w:val="es-MX"/>
        </w:rPr>
      </w:pPr>
      <w:r w:rsidRPr="004F06F2">
        <w:rPr>
          <w:sz w:val="22"/>
          <w:szCs w:val="22"/>
          <w:lang w:val="es-MX"/>
        </w:rPr>
        <w:t>Esta nota no aplica, en vista de que el Gobierno del Estado de Michoacán no transforma bienes.</w:t>
      </w:r>
    </w:p>
    <w:p w14:paraId="512CA64E" w14:textId="77777777" w:rsidR="002B0869" w:rsidRPr="004F06F2" w:rsidRDefault="002B0869" w:rsidP="002B0869">
      <w:pPr>
        <w:rPr>
          <w:sz w:val="22"/>
          <w:szCs w:val="22"/>
          <w:lang w:val="es-MX"/>
        </w:rPr>
      </w:pPr>
    </w:p>
    <w:p w14:paraId="39CBD5F4" w14:textId="77777777" w:rsidR="002B0869" w:rsidRPr="004F06F2" w:rsidRDefault="002B0869" w:rsidP="002B0869">
      <w:pPr>
        <w:rPr>
          <w:b/>
          <w:bCs/>
          <w:sz w:val="22"/>
          <w:szCs w:val="22"/>
          <w:lang w:val="es-MX"/>
        </w:rPr>
      </w:pPr>
      <w:r w:rsidRPr="004F06F2">
        <w:rPr>
          <w:b/>
          <w:bCs/>
          <w:sz w:val="22"/>
          <w:szCs w:val="22"/>
          <w:lang w:val="es-MX"/>
        </w:rPr>
        <w:t>5.- ALMACÉN</w:t>
      </w:r>
    </w:p>
    <w:p w14:paraId="5BDBB7B2" w14:textId="77777777" w:rsidR="002B0869" w:rsidRDefault="002B0869" w:rsidP="002B0869">
      <w:pPr>
        <w:rPr>
          <w:sz w:val="22"/>
          <w:szCs w:val="22"/>
          <w:lang w:val="es-MX"/>
        </w:rPr>
      </w:pPr>
      <w:r w:rsidRPr="00FA7516">
        <w:rPr>
          <w:sz w:val="22"/>
          <w:szCs w:val="22"/>
          <w:lang w:val="es-MX"/>
        </w:rPr>
        <w:t>El saldo por 486 mil 820 pesos</w:t>
      </w:r>
      <w:r w:rsidRPr="004F06F2">
        <w:rPr>
          <w:sz w:val="22"/>
          <w:szCs w:val="22"/>
          <w:lang w:val="es-MX"/>
        </w:rPr>
        <w:t>, de la cuenta de almacenes corresponde a las existencias de materiales y útiles de oficina, materiales para el procesamiento de equipos informáticos, material eléctrico y electrónico, así como de herramientas menores.</w:t>
      </w:r>
    </w:p>
    <w:p w14:paraId="17232180" w14:textId="77777777" w:rsidR="002B0869" w:rsidRDefault="002B0869" w:rsidP="002B0869">
      <w:pPr>
        <w:rPr>
          <w:sz w:val="22"/>
          <w:szCs w:val="22"/>
          <w:lang w:val="es-MX"/>
        </w:rPr>
      </w:pPr>
      <w:r w:rsidRPr="005F2267">
        <w:rPr>
          <w:noProof/>
          <w:lang w:val="es-MX" w:eastAsia="es-MX"/>
        </w:rPr>
        <w:drawing>
          <wp:inline distT="0" distB="0" distL="0" distR="0" wp14:anchorId="36F40CAE" wp14:editId="4B973305">
            <wp:extent cx="6286500" cy="714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7063" cy="714439"/>
                    </a:xfrm>
                    <a:prstGeom prst="rect">
                      <a:avLst/>
                    </a:prstGeom>
                    <a:noFill/>
                    <a:ln>
                      <a:noFill/>
                    </a:ln>
                  </pic:spPr>
                </pic:pic>
              </a:graphicData>
            </a:graphic>
          </wp:inline>
        </w:drawing>
      </w:r>
    </w:p>
    <w:p w14:paraId="39C8EC50" w14:textId="77777777" w:rsidR="002B0869" w:rsidRDefault="002B0869" w:rsidP="002B0869">
      <w:pPr>
        <w:spacing w:before="0" w:after="0"/>
        <w:rPr>
          <w:rFonts w:eastAsia="Times New Roman" w:cs="Times New Roman"/>
          <w:b/>
          <w:color w:val="000000"/>
          <w:sz w:val="22"/>
          <w:szCs w:val="22"/>
          <w:lang w:eastAsia="es-MX"/>
        </w:rPr>
      </w:pPr>
    </w:p>
    <w:p w14:paraId="6C1E9778" w14:textId="77777777" w:rsidR="002B0869" w:rsidRPr="004F06F2" w:rsidRDefault="002B0869" w:rsidP="002B0869">
      <w:pPr>
        <w:spacing w:before="0" w:after="0"/>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 NO CIRCULANTE</w:t>
      </w:r>
    </w:p>
    <w:p w14:paraId="6CA5D1B3" w14:textId="77777777" w:rsidR="002B0869" w:rsidRDefault="002B0869" w:rsidP="002B0869">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El saldo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activo no circulan</w:t>
      </w:r>
      <w:r>
        <w:rPr>
          <w:rFonts w:eastAsia="Times New Roman" w:cs="Times New Roman"/>
          <w:color w:val="000000"/>
          <w:sz w:val="22"/>
          <w:szCs w:val="22"/>
          <w:lang w:eastAsia="es-MX"/>
        </w:rPr>
        <w:t xml:space="preserve">te, asciende a la cantidad de </w:t>
      </w:r>
      <w:r w:rsidRPr="00FA7516">
        <w:rPr>
          <w:rFonts w:eastAsia="Times New Roman" w:cs="Times New Roman"/>
          <w:color w:val="000000"/>
          <w:sz w:val="22"/>
          <w:szCs w:val="22"/>
          <w:lang w:eastAsia="es-MX"/>
        </w:rPr>
        <w:t xml:space="preserve">89 mil 469 millones 739 mil </w:t>
      </w:r>
      <w:r>
        <w:rPr>
          <w:rFonts w:eastAsia="Times New Roman" w:cs="Times New Roman"/>
          <w:color w:val="000000"/>
          <w:sz w:val="22"/>
          <w:szCs w:val="22"/>
          <w:lang w:eastAsia="es-MX"/>
        </w:rPr>
        <w:t>517</w:t>
      </w:r>
      <w:r w:rsidRPr="004F06F2">
        <w:rPr>
          <w:rFonts w:eastAsia="Times New Roman" w:cs="Times New Roman"/>
          <w:color w:val="000000"/>
          <w:sz w:val="22"/>
          <w:szCs w:val="22"/>
          <w:lang w:eastAsia="es-MX"/>
        </w:rPr>
        <w:t xml:space="preserve"> pesos y se integran de la siguiente manera:</w:t>
      </w:r>
    </w:p>
    <w:p w14:paraId="306AAAA7" w14:textId="77777777" w:rsidR="002B0869" w:rsidRDefault="002B0869" w:rsidP="002B0869">
      <w:pPr>
        <w:spacing w:before="0" w:after="0"/>
        <w:rPr>
          <w:rFonts w:eastAsia="Times New Roman" w:cs="Times New Roman"/>
          <w:color w:val="000000"/>
          <w:sz w:val="22"/>
          <w:szCs w:val="22"/>
          <w:lang w:eastAsia="es-MX"/>
        </w:rPr>
      </w:pPr>
      <w:r w:rsidRPr="005F2267">
        <w:rPr>
          <w:noProof/>
          <w:lang w:val="es-MX" w:eastAsia="es-MX"/>
        </w:rPr>
        <w:drawing>
          <wp:inline distT="0" distB="0" distL="0" distR="0" wp14:anchorId="028D2F6C" wp14:editId="7D60E539">
            <wp:extent cx="6267450" cy="981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8031" cy="981166"/>
                    </a:xfrm>
                    <a:prstGeom prst="rect">
                      <a:avLst/>
                    </a:prstGeom>
                    <a:noFill/>
                    <a:ln>
                      <a:noFill/>
                    </a:ln>
                  </pic:spPr>
                </pic:pic>
              </a:graphicData>
            </a:graphic>
          </wp:inline>
        </w:drawing>
      </w:r>
    </w:p>
    <w:p w14:paraId="07218E6E" w14:textId="77777777" w:rsidR="002B0869" w:rsidRPr="004F06F2" w:rsidRDefault="002B0869" w:rsidP="002B0869">
      <w:pPr>
        <w:spacing w:before="0" w:after="0"/>
        <w:rPr>
          <w:rFonts w:eastAsia="Times New Roman" w:cs="Times New Roman"/>
          <w:b/>
          <w:bCs/>
          <w:color w:val="000000"/>
          <w:sz w:val="22"/>
          <w:szCs w:val="22"/>
          <w:lang w:eastAsia="es-MX"/>
        </w:rPr>
      </w:pPr>
    </w:p>
    <w:p w14:paraId="2D61C98F" w14:textId="77777777" w:rsidR="002B0869" w:rsidRPr="004F06F2" w:rsidRDefault="002B0869" w:rsidP="002B0869">
      <w:pPr>
        <w:spacing w:before="0" w:after="0"/>
        <w:rPr>
          <w:rFonts w:eastAsia="Times New Roman" w:cs="Times New Roman"/>
          <w:b/>
          <w:bCs/>
          <w:color w:val="000000"/>
          <w:sz w:val="22"/>
          <w:szCs w:val="22"/>
          <w:lang w:eastAsia="es-MX"/>
        </w:rPr>
      </w:pPr>
      <w:r w:rsidRPr="004F06F2">
        <w:rPr>
          <w:rFonts w:eastAsia="Times New Roman" w:cs="Times New Roman"/>
          <w:b/>
          <w:bCs/>
          <w:color w:val="000000"/>
          <w:sz w:val="22"/>
          <w:szCs w:val="22"/>
          <w:lang w:eastAsia="es-MX"/>
        </w:rPr>
        <w:t>INVERSIONES FINANCIERAS</w:t>
      </w:r>
    </w:p>
    <w:p w14:paraId="1B7E4440" w14:textId="77777777" w:rsidR="002B0869" w:rsidRPr="004F06F2" w:rsidRDefault="002B0869" w:rsidP="002B0869">
      <w:pPr>
        <w:spacing w:before="0" w:after="0"/>
        <w:rPr>
          <w:rFonts w:eastAsia="Times New Roman" w:cs="Times New Roman"/>
          <w:b/>
          <w:bCs/>
          <w:color w:val="000000"/>
          <w:sz w:val="22"/>
          <w:szCs w:val="22"/>
          <w:lang w:eastAsia="es-MX"/>
        </w:rPr>
      </w:pPr>
      <w:r w:rsidRPr="00017AC3">
        <w:rPr>
          <w:rFonts w:eastAsia="Times New Roman" w:cs="Times New Roman"/>
          <w:b/>
          <w:bCs/>
          <w:color w:val="000000"/>
          <w:sz w:val="22"/>
          <w:szCs w:val="22"/>
          <w:lang w:eastAsia="es-MX"/>
        </w:rPr>
        <w:t>6. INVERSIONES FINANCIERAS, FIDEICOMISOS, MANDATOS Y ANÁLOGOS</w:t>
      </w:r>
    </w:p>
    <w:p w14:paraId="560D01CC"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De dichos montos, las inversiones Financieras a largo plazo se integran por </w:t>
      </w:r>
      <w:r w:rsidRPr="00FA7516">
        <w:rPr>
          <w:rFonts w:eastAsia="Times New Roman" w:cs="Times New Roman"/>
          <w:color w:val="000000"/>
          <w:sz w:val="22"/>
          <w:szCs w:val="22"/>
          <w:lang w:eastAsia="es-MX"/>
        </w:rPr>
        <w:t>28 mil 451 millones 543 mil 197</w:t>
      </w:r>
      <w:r w:rsidRPr="004F06F2">
        <w:rPr>
          <w:rFonts w:eastAsia="Times New Roman" w:cs="Times New Roman"/>
          <w:color w:val="000000"/>
          <w:sz w:val="22"/>
          <w:szCs w:val="22"/>
          <w:lang w:eastAsia="es-MX"/>
        </w:rPr>
        <w:t xml:space="preserve"> pesos que se muestran como sigue:</w:t>
      </w:r>
    </w:p>
    <w:p w14:paraId="4C0AD1F0"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5F2267">
        <w:rPr>
          <w:noProof/>
          <w:lang w:val="es-MX" w:eastAsia="es-MX"/>
        </w:rPr>
        <w:drawing>
          <wp:inline distT="0" distB="0" distL="0" distR="0" wp14:anchorId="0946B53F" wp14:editId="78A3EDE7">
            <wp:extent cx="6257925" cy="495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836" cy="495847"/>
                    </a:xfrm>
                    <a:prstGeom prst="rect">
                      <a:avLst/>
                    </a:prstGeom>
                    <a:noFill/>
                    <a:ln>
                      <a:noFill/>
                    </a:ln>
                  </pic:spPr>
                </pic:pic>
              </a:graphicData>
            </a:graphic>
          </wp:inline>
        </w:drawing>
      </w:r>
      <w:r w:rsidRPr="004F06F2">
        <w:rPr>
          <w:rFonts w:eastAsia="Times New Roman" w:cs="Times New Roman"/>
          <w:color w:val="000000"/>
          <w:sz w:val="22"/>
          <w:szCs w:val="22"/>
          <w:lang w:eastAsia="es-MX"/>
        </w:rPr>
        <w:t xml:space="preserve"> </w:t>
      </w:r>
    </w:p>
    <w:p w14:paraId="5624D46E"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p>
    <w:p w14:paraId="5DF65D8B" w14:textId="77777777" w:rsidR="002B0869" w:rsidRDefault="002B0869" w:rsidP="002B0869">
      <w:pPr>
        <w:spacing w:before="0" w:after="0"/>
        <w:rPr>
          <w:noProof/>
          <w:lang w:val="es-MX" w:eastAsia="es-MX"/>
        </w:rPr>
      </w:pPr>
      <w:r w:rsidRPr="00FA7516">
        <w:rPr>
          <w:rFonts w:eastAsia="Times New Roman" w:cs="Times New Roman"/>
          <w:color w:val="000000"/>
          <w:sz w:val="22"/>
          <w:szCs w:val="22"/>
          <w:lang w:eastAsia="es-MX"/>
        </w:rPr>
        <w:lastRenderedPageBreak/>
        <w:t xml:space="preserve">De la cuenta de Fideicomisos, mandatos y análogos, por 9 mil 317 millones 636 mil 872 pesos, de los cuales 765 millones 154 mil 754 pesos corresponde a fideicomisos financieros destinados a garantizar el pago de la deuda pública y </w:t>
      </w:r>
      <w:r w:rsidRPr="00FA7516">
        <w:rPr>
          <w:noProof/>
          <w:lang w:val="es-MX" w:eastAsia="es-MX"/>
        </w:rPr>
        <w:t>8 mil 552 millones 482 mil 118</w:t>
      </w:r>
      <w:r w:rsidRPr="004F06F2">
        <w:rPr>
          <w:noProof/>
          <w:lang w:val="es-MX" w:eastAsia="es-MX"/>
        </w:rPr>
        <w:t xml:space="preserve"> pesos corresponden a fideicomisos no financieros destinados a objetivos específicos, los cuales se detallan en el cuadro siguiente:</w:t>
      </w:r>
    </w:p>
    <w:p w14:paraId="4F6F98AD" w14:textId="77777777" w:rsidR="002B0869" w:rsidRDefault="002B0869" w:rsidP="002B0869">
      <w:pPr>
        <w:spacing w:before="0" w:after="0"/>
        <w:rPr>
          <w:noProof/>
          <w:lang w:val="es-MX" w:eastAsia="es-MX"/>
        </w:rPr>
      </w:pPr>
      <w:r w:rsidRPr="00922D0E">
        <w:rPr>
          <w:noProof/>
          <w:lang w:val="es-MX" w:eastAsia="es-MX"/>
        </w:rPr>
        <w:drawing>
          <wp:inline distT="0" distB="0" distL="0" distR="0" wp14:anchorId="43EAA3B7" wp14:editId="1B97736E">
            <wp:extent cx="5591175" cy="51077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7080" cy="5122258"/>
                    </a:xfrm>
                    <a:prstGeom prst="rect">
                      <a:avLst/>
                    </a:prstGeom>
                    <a:noFill/>
                    <a:ln>
                      <a:noFill/>
                    </a:ln>
                  </pic:spPr>
                </pic:pic>
              </a:graphicData>
            </a:graphic>
          </wp:inline>
        </w:drawing>
      </w:r>
    </w:p>
    <w:p w14:paraId="0741165E" w14:textId="77777777" w:rsidR="002B0869" w:rsidRPr="004F06F2" w:rsidRDefault="002B0869" w:rsidP="002B0869">
      <w:pPr>
        <w:spacing w:before="0" w:after="0"/>
        <w:rPr>
          <w:noProof/>
          <w:lang w:val="es-MX" w:eastAsia="es-MX"/>
        </w:rPr>
      </w:pPr>
    </w:p>
    <w:p w14:paraId="6703CEBE" w14:textId="77777777" w:rsidR="002B0869" w:rsidRDefault="002B0869" w:rsidP="002B0869">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 xml:space="preserve">Es importante destacar que derivado de los trabajos que se están realizando para actualizar las cifras contables y financieras, de manera que la contabilidad refleje de manera razonable la situación que guardan las finanzas públicas, </w:t>
      </w:r>
      <w:r w:rsidRPr="00FA7516">
        <w:rPr>
          <w:rFonts w:eastAsia="Times New Roman" w:cs="Times New Roman"/>
          <w:bCs/>
          <w:color w:val="000000"/>
          <w:sz w:val="22"/>
          <w:szCs w:val="22"/>
          <w:lang w:eastAsia="es-MX"/>
        </w:rPr>
        <w:t xml:space="preserve">la cuenta de Inversiones </w:t>
      </w:r>
      <w:r w:rsidRPr="00FA7516">
        <w:rPr>
          <w:rFonts w:eastAsia="Times New Roman" w:cs="Times New Roman"/>
          <w:bCs/>
          <w:color w:val="000000"/>
          <w:sz w:val="22"/>
          <w:szCs w:val="22"/>
          <w:lang w:eastAsia="es-MX"/>
        </w:rPr>
        <w:lastRenderedPageBreak/>
        <w:t>Financieras a Largo Plazo presenta un decremento de 1 mil 508 millones 138 mil 366</w:t>
      </w:r>
      <w:r w:rsidRPr="004F06F2">
        <w:rPr>
          <w:rFonts w:eastAsia="Times New Roman" w:cs="Times New Roman"/>
          <w:bCs/>
          <w:color w:val="000000"/>
          <w:sz w:val="22"/>
          <w:szCs w:val="22"/>
          <w:lang w:eastAsia="es-MX"/>
        </w:rPr>
        <w:t xml:space="preserve"> pesos</w:t>
      </w:r>
      <w:r>
        <w:rPr>
          <w:rFonts w:eastAsia="Times New Roman" w:cs="Times New Roman"/>
          <w:bCs/>
          <w:color w:val="000000"/>
          <w:sz w:val="22"/>
          <w:szCs w:val="22"/>
          <w:lang w:eastAsia="es-MX"/>
        </w:rPr>
        <w:t xml:space="preserve"> con respecto a las cifras del periodo de comparación</w:t>
      </w:r>
      <w:r w:rsidRPr="004F06F2">
        <w:rPr>
          <w:rFonts w:eastAsia="Times New Roman" w:cs="Times New Roman"/>
          <w:bCs/>
          <w:color w:val="000000"/>
          <w:sz w:val="22"/>
          <w:szCs w:val="22"/>
          <w:lang w:eastAsia="es-MX"/>
        </w:rPr>
        <w:t xml:space="preserve">, correspondientes a la actualización de los saldos en los estados de cuenta, en los casos de fideicomisos financieros y en </w:t>
      </w:r>
      <w:r w:rsidRPr="008F2B8A">
        <w:rPr>
          <w:rFonts w:eastAsia="Times New Roman" w:cs="Times New Roman"/>
          <w:bCs/>
          <w:color w:val="000000"/>
          <w:sz w:val="22"/>
          <w:szCs w:val="22"/>
          <w:lang w:eastAsia="es-MX"/>
        </w:rPr>
        <w:t>los Estados de Situación Financiera, correspondientes a la Hacienda Pública/Patrimonio en los casos de los fideicomisos no financieros, lo que representa un 5% de variación total, respecto del saldo al 30 de junio de 2024.</w:t>
      </w:r>
    </w:p>
    <w:p w14:paraId="181F2A83" w14:textId="77777777" w:rsidR="002B0869" w:rsidRPr="00F91796" w:rsidRDefault="002B0869" w:rsidP="002B0869">
      <w:pPr>
        <w:spacing w:before="0" w:after="0"/>
        <w:rPr>
          <w:rFonts w:eastAsia="Times New Roman" w:cs="Times New Roman"/>
          <w:bCs/>
          <w:color w:val="000000"/>
          <w:sz w:val="22"/>
          <w:szCs w:val="22"/>
          <w:lang w:eastAsia="es-MX"/>
        </w:rPr>
      </w:pPr>
    </w:p>
    <w:p w14:paraId="7EAEB51C" w14:textId="77777777" w:rsidR="002B0869" w:rsidRPr="004F06F2" w:rsidRDefault="002B0869" w:rsidP="002B0869">
      <w:pPr>
        <w:spacing w:before="120" w:after="120"/>
        <w:rPr>
          <w:rFonts w:eastAsia="Calibri" w:cs="Times New Roman"/>
          <w:b/>
          <w:sz w:val="22"/>
          <w:szCs w:val="22"/>
        </w:rPr>
      </w:pPr>
      <w:r w:rsidRPr="004F06F2">
        <w:rPr>
          <w:rFonts w:eastAsia="Calibri" w:cs="Times New Roman"/>
          <w:b/>
          <w:sz w:val="22"/>
          <w:szCs w:val="22"/>
        </w:rPr>
        <w:t>7. SALDOS DE LAS PARTICIPACIONES Y APORTACIONES DE CAPITAL</w:t>
      </w:r>
    </w:p>
    <w:p w14:paraId="0F66E4FE" w14:textId="77777777" w:rsidR="002B0869" w:rsidRDefault="002B0869" w:rsidP="002B0869">
      <w:pPr>
        <w:spacing w:before="120" w:after="120"/>
        <w:rPr>
          <w:rFonts w:eastAsia="Calibri" w:cs="Times New Roman"/>
          <w:bCs/>
          <w:sz w:val="22"/>
          <w:szCs w:val="22"/>
        </w:rPr>
      </w:pPr>
      <w:r w:rsidRPr="004F06F2">
        <w:rPr>
          <w:rFonts w:eastAsia="Calibri" w:cs="Times New Roman"/>
          <w:bCs/>
          <w:sz w:val="22"/>
          <w:szCs w:val="22"/>
        </w:rPr>
        <w:t>Se informa la integración del saldo al 3</w:t>
      </w:r>
      <w:r>
        <w:rPr>
          <w:rFonts w:eastAsia="Calibri" w:cs="Times New Roman"/>
          <w:bCs/>
          <w:sz w:val="22"/>
          <w:szCs w:val="22"/>
        </w:rPr>
        <w:t>0</w:t>
      </w:r>
      <w:r w:rsidRPr="004F06F2">
        <w:rPr>
          <w:rFonts w:eastAsia="Calibri" w:cs="Times New Roman"/>
          <w:bCs/>
          <w:sz w:val="22"/>
          <w:szCs w:val="22"/>
        </w:rPr>
        <w:t xml:space="preserve"> de </w:t>
      </w:r>
      <w:r>
        <w:rPr>
          <w:rFonts w:eastAsia="Calibri" w:cs="Times New Roman"/>
          <w:bCs/>
          <w:sz w:val="22"/>
          <w:szCs w:val="22"/>
        </w:rPr>
        <w:t>junio</w:t>
      </w:r>
      <w:r w:rsidRPr="004F06F2">
        <w:rPr>
          <w:rFonts w:eastAsia="Calibri" w:cs="Times New Roman"/>
          <w:bCs/>
          <w:sz w:val="22"/>
          <w:szCs w:val="22"/>
        </w:rPr>
        <w:t xml:space="preserve"> de 202</w:t>
      </w:r>
      <w:r>
        <w:rPr>
          <w:rFonts w:eastAsia="Calibri" w:cs="Times New Roman"/>
          <w:bCs/>
          <w:sz w:val="22"/>
          <w:szCs w:val="22"/>
        </w:rPr>
        <w:t>5</w:t>
      </w:r>
      <w:r w:rsidRPr="004F06F2">
        <w:rPr>
          <w:rFonts w:eastAsia="Calibri" w:cs="Times New Roman"/>
          <w:bCs/>
          <w:sz w:val="22"/>
          <w:szCs w:val="22"/>
        </w:rPr>
        <w:t xml:space="preserve"> de la cuenta de Participaciones y Aportaciones de Capital, por </w:t>
      </w:r>
      <w:r>
        <w:rPr>
          <w:rFonts w:eastAsia="Calibri" w:cs="Times New Roman"/>
          <w:bCs/>
          <w:sz w:val="22"/>
          <w:szCs w:val="22"/>
        </w:rPr>
        <w:t>19</w:t>
      </w:r>
      <w:r w:rsidRPr="00FA7516">
        <w:rPr>
          <w:rFonts w:eastAsia="Calibri" w:cs="Times New Roman"/>
          <w:bCs/>
          <w:sz w:val="22"/>
          <w:szCs w:val="22"/>
        </w:rPr>
        <w:t xml:space="preserve"> mil </w:t>
      </w:r>
      <w:r>
        <w:rPr>
          <w:rFonts w:eastAsia="Calibri" w:cs="Times New Roman"/>
          <w:bCs/>
          <w:sz w:val="22"/>
          <w:szCs w:val="22"/>
        </w:rPr>
        <w:t>133</w:t>
      </w:r>
      <w:r w:rsidRPr="00FA7516">
        <w:rPr>
          <w:rFonts w:eastAsia="Calibri" w:cs="Times New Roman"/>
          <w:bCs/>
          <w:sz w:val="22"/>
          <w:szCs w:val="22"/>
        </w:rPr>
        <w:t xml:space="preserve"> millones 9</w:t>
      </w:r>
      <w:r>
        <w:rPr>
          <w:rFonts w:eastAsia="Calibri" w:cs="Times New Roman"/>
          <w:bCs/>
          <w:sz w:val="22"/>
          <w:szCs w:val="22"/>
        </w:rPr>
        <w:t>0</w:t>
      </w:r>
      <w:r w:rsidRPr="00FA7516">
        <w:rPr>
          <w:rFonts w:eastAsia="Calibri" w:cs="Times New Roman"/>
          <w:bCs/>
          <w:sz w:val="22"/>
          <w:szCs w:val="22"/>
        </w:rPr>
        <w:t xml:space="preserve">6 mil </w:t>
      </w:r>
      <w:r>
        <w:rPr>
          <w:rFonts w:eastAsia="Calibri" w:cs="Times New Roman"/>
          <w:bCs/>
          <w:sz w:val="22"/>
          <w:szCs w:val="22"/>
        </w:rPr>
        <w:t>326</w:t>
      </w:r>
      <w:r w:rsidRPr="004F06F2">
        <w:rPr>
          <w:rFonts w:eastAsia="Calibri" w:cs="Times New Roman"/>
          <w:bCs/>
          <w:sz w:val="22"/>
          <w:szCs w:val="22"/>
        </w:rPr>
        <w:t xml:space="preserve"> pesos.</w:t>
      </w:r>
    </w:p>
    <w:p w14:paraId="796B9473" w14:textId="77777777" w:rsidR="002B0869" w:rsidRPr="004F06F2" w:rsidRDefault="002B0869" w:rsidP="002B0869">
      <w:pPr>
        <w:spacing w:before="120" w:after="120"/>
        <w:rPr>
          <w:rFonts w:eastAsia="Calibri" w:cs="Times New Roman"/>
          <w:bCs/>
          <w:sz w:val="22"/>
          <w:szCs w:val="22"/>
        </w:rPr>
      </w:pPr>
      <w:r w:rsidRPr="004F06F2">
        <w:rPr>
          <w:rFonts w:eastAsia="Calibri" w:cs="Times New Roman"/>
          <w:bCs/>
          <w:sz w:val="22"/>
          <w:szCs w:val="22"/>
        </w:rPr>
        <w:t xml:space="preserve"> </w:t>
      </w:r>
    </w:p>
    <w:p w14:paraId="2F2AF81D" w14:textId="77777777" w:rsidR="002B0869" w:rsidRPr="004F06F2" w:rsidRDefault="002B0869" w:rsidP="002B0869">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El respaldo correspondiente a dicho saldo consiste en las cifras de los Estados Financieros que las Entidades Paraestatales presentan a esta Secretaría de Finanzas y está actualizado de conformidad con la oportunidad en que estas los presentan.</w:t>
      </w:r>
    </w:p>
    <w:p w14:paraId="1E7D3F96" w14:textId="77777777" w:rsidR="002B0869" w:rsidRPr="004F06F2" w:rsidRDefault="002B0869" w:rsidP="002B0869">
      <w:pPr>
        <w:spacing w:before="0" w:after="0"/>
        <w:rPr>
          <w:rFonts w:eastAsia="Times New Roman" w:cs="Times New Roman"/>
          <w:bCs/>
          <w:color w:val="000000"/>
          <w:sz w:val="22"/>
          <w:szCs w:val="22"/>
          <w:lang w:eastAsia="es-MX"/>
        </w:rPr>
      </w:pPr>
    </w:p>
    <w:p w14:paraId="45FD292B" w14:textId="77777777" w:rsidR="002B0869" w:rsidRDefault="002B0869" w:rsidP="002B0869">
      <w:pPr>
        <w:spacing w:before="0" w:after="0"/>
        <w:rPr>
          <w:rFonts w:eastAsia="Times New Roman" w:cs="Times New Roman"/>
          <w:bCs/>
          <w:color w:val="000000"/>
          <w:sz w:val="22"/>
          <w:szCs w:val="22"/>
          <w:lang w:eastAsia="es-MX"/>
        </w:rPr>
      </w:pPr>
      <w:r w:rsidRPr="004F06F2">
        <w:rPr>
          <w:rFonts w:eastAsia="Times New Roman" w:cs="Times New Roman"/>
          <w:bCs/>
          <w:color w:val="000000"/>
          <w:sz w:val="22"/>
          <w:szCs w:val="22"/>
          <w:lang w:eastAsia="es-MX"/>
        </w:rPr>
        <w:t>Las aportaciones en las entidades paraestatales se integran como sigue:</w:t>
      </w:r>
    </w:p>
    <w:p w14:paraId="1C2141FF" w14:textId="77777777" w:rsidR="002B0869" w:rsidRDefault="002B0869" w:rsidP="002B0869">
      <w:pPr>
        <w:spacing w:before="0" w:after="0"/>
        <w:rPr>
          <w:rFonts w:eastAsia="Times New Roman" w:cs="Times New Roman"/>
          <w:bCs/>
          <w:color w:val="000000"/>
          <w:sz w:val="22"/>
          <w:szCs w:val="22"/>
          <w:lang w:eastAsia="es-MX"/>
        </w:rPr>
      </w:pPr>
      <w:r w:rsidRPr="005F5EE4">
        <w:rPr>
          <w:noProof/>
          <w:lang w:val="es-MX" w:eastAsia="es-MX"/>
        </w:rPr>
        <w:lastRenderedPageBreak/>
        <w:drawing>
          <wp:inline distT="0" distB="0" distL="0" distR="0" wp14:anchorId="1C341589" wp14:editId="152AE2B1">
            <wp:extent cx="5826355" cy="8261405"/>
            <wp:effectExtent l="0" t="0" r="317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1824"/>
                    <a:stretch/>
                  </pic:blipFill>
                  <pic:spPr bwMode="auto">
                    <a:xfrm>
                      <a:off x="0" y="0"/>
                      <a:ext cx="5833924" cy="8272138"/>
                    </a:xfrm>
                    <a:prstGeom prst="rect">
                      <a:avLst/>
                    </a:prstGeom>
                    <a:noFill/>
                    <a:ln>
                      <a:noFill/>
                    </a:ln>
                    <a:extLst>
                      <a:ext uri="{53640926-AAD7-44D8-BBD7-CCE9431645EC}">
                        <a14:shadowObscured xmlns:a14="http://schemas.microsoft.com/office/drawing/2010/main"/>
                      </a:ext>
                    </a:extLst>
                  </pic:spPr>
                </pic:pic>
              </a:graphicData>
            </a:graphic>
          </wp:inline>
        </w:drawing>
      </w:r>
    </w:p>
    <w:p w14:paraId="42ED9247"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lastRenderedPageBreak/>
        <w:t>BIENES MUEBLES, INMUEBLES E INTA</w:t>
      </w:r>
      <w:r>
        <w:rPr>
          <w:rFonts w:eastAsia="Calibri" w:cs="Times New Roman"/>
          <w:b/>
          <w:sz w:val="22"/>
          <w:szCs w:val="22"/>
        </w:rPr>
        <w:t>N</w:t>
      </w:r>
      <w:r w:rsidRPr="004F06F2">
        <w:rPr>
          <w:rFonts w:eastAsia="Calibri" w:cs="Times New Roman"/>
          <w:b/>
          <w:sz w:val="22"/>
          <w:szCs w:val="22"/>
        </w:rPr>
        <w:t>GIBLES</w:t>
      </w:r>
      <w:r>
        <w:rPr>
          <w:rFonts w:eastAsia="Calibri" w:cs="Times New Roman"/>
          <w:b/>
          <w:sz w:val="22"/>
          <w:szCs w:val="22"/>
        </w:rPr>
        <w:t>.</w:t>
      </w:r>
    </w:p>
    <w:p w14:paraId="2F1181F0" w14:textId="77777777" w:rsidR="002B0869" w:rsidRPr="004F06F2" w:rsidRDefault="002B0869" w:rsidP="002B0869">
      <w:pPr>
        <w:spacing w:before="0" w:after="0"/>
        <w:rPr>
          <w:rFonts w:ascii="Arial" w:eastAsia="Times New Roman" w:hAnsi="Arial" w:cs="Arial"/>
          <w:b/>
          <w:bCs/>
          <w:color w:val="000000"/>
          <w:sz w:val="22"/>
          <w:szCs w:val="22"/>
          <w:lang w:eastAsia="es-MX"/>
        </w:rPr>
      </w:pPr>
      <w:r w:rsidRPr="004F06F2">
        <w:rPr>
          <w:rFonts w:eastAsia="Calibri" w:cs="Times New Roman"/>
          <w:b/>
          <w:sz w:val="22"/>
          <w:szCs w:val="22"/>
        </w:rPr>
        <w:t>8.- BIENES MUEBLES E INMUEBLES</w:t>
      </w:r>
      <w:r>
        <w:rPr>
          <w:rFonts w:eastAsia="Calibri" w:cs="Times New Roman"/>
          <w:b/>
          <w:sz w:val="22"/>
          <w:szCs w:val="22"/>
        </w:rPr>
        <w:t>.</w:t>
      </w:r>
      <w:r w:rsidRPr="004F06F2">
        <w:rPr>
          <w:rFonts w:ascii="Arial" w:hAnsi="Arial" w:cs="Arial"/>
          <w:b/>
          <w:color w:val="000000"/>
          <w:sz w:val="22"/>
          <w:szCs w:val="22"/>
        </w:rPr>
        <w:t xml:space="preserve"> </w:t>
      </w:r>
      <w:r w:rsidRPr="004F06F2">
        <w:rPr>
          <w:rFonts w:ascii="Arial" w:eastAsia="Times New Roman" w:hAnsi="Arial" w:cs="Arial"/>
          <w:b/>
          <w:bCs/>
          <w:color w:val="000000"/>
          <w:sz w:val="22"/>
          <w:szCs w:val="22"/>
          <w:lang w:eastAsia="es-MX"/>
        </w:rPr>
        <w:t xml:space="preserve">  </w:t>
      </w:r>
    </w:p>
    <w:p w14:paraId="4DB2AD5A"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 xml:space="preserve">De conformidad con lo dispuesto en </w:t>
      </w:r>
      <w:r>
        <w:rPr>
          <w:rFonts w:eastAsia="Calibri" w:cs="Times New Roman"/>
          <w:sz w:val="22"/>
          <w:szCs w:val="22"/>
        </w:rPr>
        <w:t>el</w:t>
      </w:r>
      <w:r w:rsidRPr="004F06F2">
        <w:rPr>
          <w:rFonts w:eastAsia="Calibri" w:cs="Times New Roman"/>
          <w:sz w:val="22"/>
          <w:szCs w:val="22"/>
        </w:rPr>
        <w:t xml:space="preserve"> acuerdo donde se establecen las “Reglas de Registro y Val</w:t>
      </w:r>
      <w:r>
        <w:rPr>
          <w:rFonts w:eastAsia="Calibri" w:cs="Times New Roman"/>
          <w:sz w:val="22"/>
          <w:szCs w:val="22"/>
        </w:rPr>
        <w:t>uación</w:t>
      </w:r>
      <w:r w:rsidRPr="004F06F2">
        <w:rPr>
          <w:rFonts w:eastAsia="Calibri" w:cs="Times New Roman"/>
          <w:sz w:val="22"/>
          <w:szCs w:val="22"/>
        </w:rPr>
        <w:t xml:space="preserve"> del Patrimonio”, publicado en el Diario Oficial de la Federación del </w:t>
      </w:r>
      <w:r>
        <w:rPr>
          <w:rFonts w:eastAsia="Calibri" w:cs="Times New Roman"/>
          <w:sz w:val="22"/>
          <w:szCs w:val="22"/>
        </w:rPr>
        <w:t>11</w:t>
      </w:r>
      <w:r w:rsidRPr="004F06F2">
        <w:rPr>
          <w:rFonts w:eastAsia="Calibri" w:cs="Times New Roman"/>
          <w:sz w:val="22"/>
          <w:szCs w:val="22"/>
        </w:rPr>
        <w:t xml:space="preserve"> de </w:t>
      </w:r>
      <w:r>
        <w:rPr>
          <w:rFonts w:eastAsia="Calibri" w:cs="Times New Roman"/>
          <w:sz w:val="22"/>
          <w:szCs w:val="22"/>
        </w:rPr>
        <w:t>diciembre</w:t>
      </w:r>
      <w:r w:rsidRPr="004F06F2">
        <w:rPr>
          <w:rFonts w:eastAsia="Calibri" w:cs="Times New Roman"/>
          <w:sz w:val="22"/>
          <w:szCs w:val="22"/>
        </w:rPr>
        <w:t xml:space="preserve"> de 20</w:t>
      </w:r>
      <w:r>
        <w:rPr>
          <w:rFonts w:eastAsia="Calibri" w:cs="Times New Roman"/>
          <w:sz w:val="22"/>
          <w:szCs w:val="22"/>
        </w:rPr>
        <w:t>23</w:t>
      </w:r>
      <w:r w:rsidRPr="004F06F2">
        <w:rPr>
          <w:rFonts w:eastAsia="Calibri" w:cs="Times New Roman"/>
          <w:sz w:val="22"/>
          <w:szCs w:val="22"/>
        </w:rPr>
        <w:t xml:space="preserve"> y los “Lineamientos dirigidos a asegurar que el Sistema de Contabilidad Gubernamental facilite el Registro y Control de los Inventarios de Bienes Muebles e Inmuebles de los Entes Públicos” publicado en el Diario Oficial de la Federación del 13 de diciembre de 2011</w:t>
      </w:r>
      <w:r>
        <w:rPr>
          <w:rFonts w:eastAsia="Calibri" w:cs="Times New Roman"/>
          <w:sz w:val="22"/>
          <w:szCs w:val="22"/>
        </w:rPr>
        <w:t>.</w:t>
      </w:r>
      <w:r w:rsidRPr="004F06F2">
        <w:rPr>
          <w:rFonts w:eastAsia="Calibri" w:cs="Times New Roman"/>
          <w:sz w:val="22"/>
          <w:szCs w:val="22"/>
        </w:rPr>
        <w:t xml:space="preserve"> </w:t>
      </w:r>
    </w:p>
    <w:p w14:paraId="5AB13561" w14:textId="77777777" w:rsidR="002B0869" w:rsidRDefault="002B0869" w:rsidP="002B0869">
      <w:pPr>
        <w:spacing w:before="0" w:after="0"/>
        <w:rPr>
          <w:rFonts w:eastAsia="Calibri" w:cs="Times New Roman"/>
          <w:sz w:val="22"/>
          <w:szCs w:val="22"/>
        </w:rPr>
      </w:pPr>
    </w:p>
    <w:p w14:paraId="5B59A25A" w14:textId="77777777" w:rsidR="002B0869" w:rsidRPr="004F06F2" w:rsidRDefault="002B0869" w:rsidP="002B0869">
      <w:pPr>
        <w:spacing w:before="0" w:after="0"/>
        <w:rPr>
          <w:rFonts w:eastAsia="Calibri" w:cs="Times New Roman"/>
          <w:b/>
          <w:color w:val="000000"/>
          <w:sz w:val="22"/>
          <w:szCs w:val="22"/>
        </w:rPr>
      </w:pPr>
      <w:r w:rsidRPr="004F06F2">
        <w:rPr>
          <w:rFonts w:eastAsia="Calibri" w:cs="Times New Roman"/>
          <w:b/>
          <w:color w:val="000000"/>
          <w:sz w:val="22"/>
          <w:szCs w:val="22"/>
        </w:rPr>
        <w:t xml:space="preserve">BIENES </w:t>
      </w:r>
      <w:r>
        <w:rPr>
          <w:rFonts w:eastAsia="Calibri" w:cs="Times New Roman"/>
          <w:b/>
          <w:color w:val="000000"/>
          <w:sz w:val="22"/>
          <w:szCs w:val="22"/>
        </w:rPr>
        <w:t>IN</w:t>
      </w:r>
      <w:r w:rsidRPr="004F06F2">
        <w:rPr>
          <w:rFonts w:eastAsia="Calibri" w:cs="Times New Roman"/>
          <w:b/>
          <w:color w:val="000000"/>
          <w:sz w:val="22"/>
          <w:szCs w:val="22"/>
        </w:rPr>
        <w:t>MUEBLES</w:t>
      </w:r>
    </w:p>
    <w:p w14:paraId="18B647EA"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Las</w:t>
      </w:r>
      <w:r>
        <w:rPr>
          <w:rFonts w:eastAsia="Calibri" w:cs="Times New Roman"/>
          <w:sz w:val="22"/>
          <w:szCs w:val="22"/>
        </w:rPr>
        <w:t xml:space="preserve"> </w:t>
      </w:r>
      <w:r w:rsidRPr="004F06F2">
        <w:rPr>
          <w:rFonts w:eastAsia="Calibri" w:cs="Times New Roman"/>
          <w:sz w:val="22"/>
          <w:szCs w:val="22"/>
        </w:rPr>
        <w:t xml:space="preserve">cifras que se presentan ascienden a un importe </w:t>
      </w:r>
      <w:r w:rsidRPr="00FA7516">
        <w:rPr>
          <w:rFonts w:eastAsia="Calibri" w:cs="Times New Roman"/>
          <w:sz w:val="22"/>
          <w:szCs w:val="22"/>
        </w:rPr>
        <w:t>de 57 mil 756 millones 685 mil 440 pesos.</w:t>
      </w:r>
    </w:p>
    <w:p w14:paraId="23F1A118" w14:textId="77777777" w:rsidR="002B0869" w:rsidRDefault="002B0869" w:rsidP="002B0869">
      <w:pPr>
        <w:spacing w:before="0" w:after="0"/>
        <w:rPr>
          <w:rFonts w:eastAsia="Calibri" w:cs="Times New Roman"/>
          <w:sz w:val="22"/>
          <w:szCs w:val="22"/>
        </w:rPr>
      </w:pPr>
      <w:r w:rsidRPr="00E32CA8">
        <w:rPr>
          <w:noProof/>
          <w:lang w:val="es-MX" w:eastAsia="es-MX"/>
        </w:rPr>
        <w:drawing>
          <wp:inline distT="0" distB="0" distL="0" distR="0" wp14:anchorId="29476370" wp14:editId="32BE8FF0">
            <wp:extent cx="6286500" cy="10572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7089" cy="1057374"/>
                    </a:xfrm>
                    <a:prstGeom prst="rect">
                      <a:avLst/>
                    </a:prstGeom>
                    <a:noFill/>
                    <a:ln>
                      <a:noFill/>
                    </a:ln>
                  </pic:spPr>
                </pic:pic>
              </a:graphicData>
            </a:graphic>
          </wp:inline>
        </w:drawing>
      </w:r>
    </w:p>
    <w:p w14:paraId="07BDDB55" w14:textId="77777777" w:rsidR="002B0869" w:rsidRPr="004F06F2" w:rsidRDefault="002B0869" w:rsidP="002B0869">
      <w:pPr>
        <w:spacing w:before="0" w:after="0"/>
        <w:rPr>
          <w:rFonts w:eastAsia="Calibri" w:cs="Times New Roman"/>
          <w:b/>
          <w:color w:val="000000"/>
          <w:sz w:val="22"/>
          <w:szCs w:val="22"/>
        </w:rPr>
      </w:pPr>
    </w:p>
    <w:p w14:paraId="1993F58B" w14:textId="77777777" w:rsidR="002B0869" w:rsidRPr="004F06F2" w:rsidRDefault="002B0869" w:rsidP="002B0869">
      <w:pPr>
        <w:spacing w:before="0" w:after="0"/>
        <w:rPr>
          <w:rFonts w:eastAsia="Calibri" w:cs="Times New Roman"/>
          <w:b/>
          <w:color w:val="000000"/>
          <w:sz w:val="22"/>
          <w:szCs w:val="22"/>
        </w:rPr>
      </w:pPr>
      <w:r w:rsidRPr="004F06F2">
        <w:rPr>
          <w:rFonts w:eastAsia="Calibri" w:cs="Times New Roman"/>
          <w:b/>
          <w:color w:val="000000"/>
          <w:sz w:val="22"/>
          <w:szCs w:val="22"/>
        </w:rPr>
        <w:t>BIENES MUEBLES</w:t>
      </w:r>
    </w:p>
    <w:p w14:paraId="5C3F88AC"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 xml:space="preserve">Es la incorporación al patrimonio de la Entidad de los bienes muebles, ya sea por adquisiciones o cualquier otro medio de adjudicación y sus efectos, por la desincorporación del patrimonio del Estado de dichos bienes a su valor original, ya sea por su venta o cuando por el deterioro de los mismos no sea posible seguirlos utilizando; se consideran en este rubro: muebles, mobiliario y equipo de oficina, los vehículos, maquinaria, equipo de cómputo, etcétera. </w:t>
      </w:r>
    </w:p>
    <w:p w14:paraId="0C6B0AA6" w14:textId="77777777" w:rsidR="002B0869" w:rsidRPr="004F06F2" w:rsidRDefault="002B0869" w:rsidP="002B0869">
      <w:pPr>
        <w:spacing w:before="0" w:after="0"/>
        <w:rPr>
          <w:rFonts w:eastAsia="Calibri" w:cs="Times New Roman"/>
          <w:color w:val="000000"/>
          <w:sz w:val="22"/>
          <w:szCs w:val="22"/>
        </w:rPr>
      </w:pPr>
    </w:p>
    <w:p w14:paraId="018445D2"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De manera paralela, se continuó con el registro de los bienes adquiridos durante este ejercicio, tomando como base su documentación comprobatoria y el precio de adquisición.</w:t>
      </w:r>
    </w:p>
    <w:p w14:paraId="4A772FA7" w14:textId="77777777" w:rsidR="002B0869" w:rsidRPr="004F06F2" w:rsidRDefault="002B0869" w:rsidP="002B0869">
      <w:pPr>
        <w:spacing w:before="0" w:after="0"/>
        <w:rPr>
          <w:rFonts w:eastAsia="Calibri" w:cs="Times New Roman"/>
          <w:color w:val="000000"/>
          <w:sz w:val="22"/>
          <w:szCs w:val="22"/>
        </w:rPr>
      </w:pPr>
    </w:p>
    <w:p w14:paraId="596BF382"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 xml:space="preserve">Estos registros, se realizan de manera simultánea a la afectación presupuestal, en este rubro se llevaron a cabo las depreciaciones </w:t>
      </w:r>
      <w:r w:rsidRPr="004F06F2">
        <w:rPr>
          <w:rFonts w:eastAsia="Calibri" w:cs="Times New Roman"/>
          <w:color w:val="000000"/>
          <w:sz w:val="22"/>
          <w:szCs w:val="22"/>
        </w:rPr>
        <w:lastRenderedPageBreak/>
        <w:t>correspondientes, siguiendo la Guía de Vida Útil Estimada y Porcentaje de Depreciación.</w:t>
      </w:r>
    </w:p>
    <w:p w14:paraId="1D699F5D" w14:textId="77777777" w:rsidR="002B0869" w:rsidRDefault="002B0869" w:rsidP="002B0869">
      <w:pPr>
        <w:spacing w:before="0" w:after="0"/>
        <w:ind w:firstLine="284"/>
        <w:rPr>
          <w:rFonts w:eastAsia="Calibri" w:cs="Times New Roman"/>
          <w:color w:val="000000"/>
          <w:sz w:val="22"/>
          <w:szCs w:val="22"/>
        </w:rPr>
      </w:pPr>
      <w:r w:rsidRPr="004F06F2">
        <w:rPr>
          <w:rFonts w:eastAsia="Calibri" w:cs="Times New Roman"/>
          <w:color w:val="000000"/>
          <w:sz w:val="22"/>
          <w:szCs w:val="22"/>
        </w:rPr>
        <w:t>A continuación, se detalla la integración de este rubro:</w:t>
      </w:r>
    </w:p>
    <w:p w14:paraId="78138427" w14:textId="77777777" w:rsidR="002B0869" w:rsidRDefault="002B0869" w:rsidP="002B0869">
      <w:pPr>
        <w:spacing w:before="0" w:after="0"/>
        <w:ind w:firstLine="284"/>
        <w:rPr>
          <w:rFonts w:eastAsia="Calibri" w:cs="Times New Roman"/>
          <w:color w:val="000000"/>
          <w:sz w:val="22"/>
          <w:szCs w:val="22"/>
        </w:rPr>
      </w:pPr>
      <w:r w:rsidRPr="00E32CA8">
        <w:rPr>
          <w:noProof/>
          <w:lang w:val="es-MX" w:eastAsia="es-MX"/>
        </w:rPr>
        <w:drawing>
          <wp:inline distT="0" distB="0" distL="0" distR="0" wp14:anchorId="53A4B245" wp14:editId="7057D0DD">
            <wp:extent cx="6286500" cy="10858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9796" cy="1086419"/>
                    </a:xfrm>
                    <a:prstGeom prst="rect">
                      <a:avLst/>
                    </a:prstGeom>
                    <a:noFill/>
                    <a:ln>
                      <a:noFill/>
                    </a:ln>
                  </pic:spPr>
                </pic:pic>
              </a:graphicData>
            </a:graphic>
          </wp:inline>
        </w:drawing>
      </w:r>
    </w:p>
    <w:p w14:paraId="1FC1D66A" w14:textId="77777777" w:rsidR="002B0869" w:rsidRPr="004F06F2" w:rsidRDefault="002B0869" w:rsidP="002B0869">
      <w:pPr>
        <w:spacing w:before="0" w:after="0"/>
        <w:rPr>
          <w:rFonts w:eastAsia="Calibri" w:cs="Times New Roman"/>
          <w:color w:val="632423"/>
          <w:sz w:val="22"/>
          <w:szCs w:val="22"/>
        </w:rPr>
      </w:pPr>
    </w:p>
    <w:p w14:paraId="6A4B58ED" w14:textId="77777777" w:rsidR="002B0869" w:rsidRPr="004F06F2" w:rsidRDefault="002B0869" w:rsidP="002B0869">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9.- ACTIVOS INTANGIBLES</w:t>
      </w:r>
    </w:p>
    <w:p w14:paraId="679F73AE" w14:textId="77777777" w:rsidR="002B0869"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Se refiere a las adquisiciones de software y licencias informáticas, necesarios para la operación de las distintas dependencias del Gobierno del Estado y para dar cumplimiento a la normatividad en materia de transparencia, rendición de cuentas y armonización contable.</w:t>
      </w:r>
    </w:p>
    <w:p w14:paraId="6B25D684" w14:textId="77777777" w:rsidR="002B0869" w:rsidRPr="004F06F2" w:rsidRDefault="002B0869" w:rsidP="002B0869">
      <w:pPr>
        <w:spacing w:before="0" w:after="0"/>
        <w:rPr>
          <w:rFonts w:eastAsia="Calibri" w:cs="Times New Roman"/>
          <w:color w:val="000000"/>
          <w:sz w:val="22"/>
          <w:szCs w:val="22"/>
        </w:rPr>
      </w:pPr>
      <w:r w:rsidRPr="00E32CA8">
        <w:rPr>
          <w:noProof/>
          <w:lang w:val="es-MX" w:eastAsia="es-MX"/>
        </w:rPr>
        <w:drawing>
          <wp:inline distT="0" distB="0" distL="0" distR="0" wp14:anchorId="73F49948" wp14:editId="09A947AF">
            <wp:extent cx="6238875" cy="7334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9419" cy="733489"/>
                    </a:xfrm>
                    <a:prstGeom prst="rect">
                      <a:avLst/>
                    </a:prstGeom>
                    <a:noFill/>
                    <a:ln>
                      <a:noFill/>
                    </a:ln>
                  </pic:spPr>
                </pic:pic>
              </a:graphicData>
            </a:graphic>
          </wp:inline>
        </w:drawing>
      </w:r>
    </w:p>
    <w:p w14:paraId="25A36CE8" w14:textId="77777777" w:rsidR="002B0869" w:rsidRDefault="002B0869" w:rsidP="002B0869">
      <w:pPr>
        <w:widowControl w:val="0"/>
        <w:spacing w:before="0" w:after="0"/>
        <w:jc w:val="left"/>
        <w:rPr>
          <w:rFonts w:eastAsia="Times New Roman" w:cs="Times New Roman"/>
          <w:b/>
          <w:color w:val="000000"/>
          <w:sz w:val="22"/>
          <w:szCs w:val="22"/>
          <w:lang w:eastAsia="es-MX"/>
        </w:rPr>
      </w:pPr>
    </w:p>
    <w:p w14:paraId="0995C9F0" w14:textId="77777777" w:rsidR="002B0869" w:rsidRPr="004F06F2" w:rsidRDefault="002B0869" w:rsidP="002B0869">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ACTIVOS DIFERIDOS</w:t>
      </w:r>
    </w:p>
    <w:p w14:paraId="5270C4DE"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Los cargos diferidos son aquellos gastos pagados por anticipado y que no son susceptibles de ser recuperados por el Gobierno del Estado, en ningún momento.</w:t>
      </w:r>
    </w:p>
    <w:p w14:paraId="4B3D59D4" w14:textId="77777777" w:rsidR="002B0869"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En este rubro, se encuentran las inversiones en estudios, formulación y evaluación de proyectos productivos que posteriormente pasarán a integrarse al costo de las inversiones para las cuales fueron realizados.</w:t>
      </w:r>
    </w:p>
    <w:p w14:paraId="0BAC0A69" w14:textId="77777777" w:rsidR="002B0869" w:rsidRDefault="002B0869" w:rsidP="002B0869">
      <w:pPr>
        <w:spacing w:before="0" w:after="0"/>
        <w:rPr>
          <w:rFonts w:eastAsia="Calibri" w:cs="Times New Roman"/>
          <w:color w:val="000000"/>
          <w:sz w:val="22"/>
          <w:szCs w:val="22"/>
        </w:rPr>
      </w:pPr>
    </w:p>
    <w:p w14:paraId="6218234D" w14:textId="77777777" w:rsidR="002B0869" w:rsidRPr="004F06F2" w:rsidRDefault="002B0869" w:rsidP="002B0869">
      <w:pPr>
        <w:spacing w:before="0" w:after="0"/>
        <w:rPr>
          <w:rFonts w:eastAsia="Calibri" w:cs="Times New Roman"/>
          <w:color w:val="000000"/>
          <w:sz w:val="22"/>
          <w:szCs w:val="22"/>
        </w:rPr>
      </w:pPr>
      <w:r w:rsidRPr="00BC29A8">
        <w:rPr>
          <w:noProof/>
          <w:lang w:val="es-MX" w:eastAsia="es-MX"/>
        </w:rPr>
        <w:drawing>
          <wp:inline distT="0" distB="0" distL="0" distR="0" wp14:anchorId="3E2FC709" wp14:editId="49F38287">
            <wp:extent cx="6347804" cy="642796"/>
            <wp:effectExtent l="0" t="0" r="2540" b="5080"/>
            <wp:docPr id="817789854" name="Imagen 817789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1949" cy="644228"/>
                    </a:xfrm>
                    <a:prstGeom prst="rect">
                      <a:avLst/>
                    </a:prstGeom>
                    <a:noFill/>
                    <a:ln>
                      <a:noFill/>
                    </a:ln>
                  </pic:spPr>
                </pic:pic>
              </a:graphicData>
            </a:graphic>
          </wp:inline>
        </w:drawing>
      </w:r>
    </w:p>
    <w:p w14:paraId="530F33E9" w14:textId="77777777" w:rsidR="002B0869" w:rsidRPr="004F06F2" w:rsidRDefault="002B0869" w:rsidP="002B0869">
      <w:pPr>
        <w:widowControl w:val="0"/>
        <w:kinsoku w:val="0"/>
        <w:spacing w:before="0" w:after="0"/>
        <w:contextualSpacing/>
        <w:jc w:val="left"/>
        <w:rPr>
          <w:rFonts w:eastAsia="Times New Roman" w:cs="Times New Roman"/>
          <w:b/>
          <w:color w:val="000000"/>
          <w:sz w:val="22"/>
          <w:szCs w:val="22"/>
          <w:lang w:eastAsia="es-MX"/>
        </w:rPr>
      </w:pPr>
    </w:p>
    <w:p w14:paraId="094763EA" w14:textId="77777777" w:rsidR="002B0869" w:rsidRPr="004F06F2" w:rsidRDefault="002B0869" w:rsidP="002B0869">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10. ESTIMACIONES Y DETERIOROS</w:t>
      </w:r>
      <w:r>
        <w:rPr>
          <w:rFonts w:eastAsia="Times New Roman" w:cs="Times New Roman"/>
          <w:b/>
          <w:color w:val="000000"/>
          <w:sz w:val="22"/>
          <w:szCs w:val="22"/>
          <w:lang w:eastAsia="es-MX"/>
        </w:rPr>
        <w:t>.</w:t>
      </w:r>
    </w:p>
    <w:p w14:paraId="12D0BB90"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Se informarán los criterios utilizados para la determinación de las </w:t>
      </w:r>
      <w:r w:rsidRPr="00CF40B9">
        <w:rPr>
          <w:rFonts w:eastAsia="Times New Roman" w:cs="Times New Roman"/>
          <w:bCs/>
          <w:color w:val="000000"/>
          <w:sz w:val="22"/>
          <w:szCs w:val="22"/>
          <w:lang w:eastAsia="es-MX"/>
        </w:rPr>
        <w:lastRenderedPageBreak/>
        <w:t xml:space="preserve">estimaciones; por ejemplo: estimación de cuentas incobrables, estimación por deterioro de inventarios, deterioro de bienes y cualquier otra que aplique. </w:t>
      </w:r>
    </w:p>
    <w:p w14:paraId="6CB83596"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p>
    <w:p w14:paraId="71ECB71F"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 depreciación representa la parte estimada de capacidad de los activos que se han consumido durante un periodo determinado, ya que su fin es de índole informativo, registrándose en los gastos del periodo, con el objeto de conocer el gasto patrimonial por el servicio que esté dando el activo, lo cual redundará en una estimación.</w:t>
      </w:r>
    </w:p>
    <w:p w14:paraId="213A1560"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p>
    <w:p w14:paraId="4C52DA1E"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Asimismo, el registro contable de la depreciación tiene como objetivo reconocer la pérdida del valor de un activo, que puede originarse por obsolescencia, desgaste, o deterioro ordinario, defecto de fabricación, falta de uso, insuficiencia, entre otros.</w:t>
      </w:r>
    </w:p>
    <w:p w14:paraId="21868D5D"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p>
    <w:p w14:paraId="41E9E1CE"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La depreciación se aplica bajo los siguientes parámetros, considerando la fecha de capitalización de cada activo como referencia para el inicio del cálculo correspondiente, teniendo dos variantes en relación a la fecha de su registro, donde si es igual o posterior al día 16 del mes corriente, su aplicación inicial será en el mes inmediato siguiente, por lo tanto, si es registrado el día 15 o antes, el cálculo se reconocerá el mismo mes de su registro.  </w:t>
      </w:r>
    </w:p>
    <w:p w14:paraId="44887E71"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p>
    <w:p w14:paraId="43679063"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Se toma como referencia los parámetros de estimación de Vida Útil, para la aplicación de la Depreciación de Bienes Muebles e Inmuebles, publicado en el Periódico Oficial de la Federación, el día 15 de agosto de 2012.</w:t>
      </w:r>
    </w:p>
    <w:p w14:paraId="771B0FE9"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p>
    <w:p w14:paraId="643E57B3"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 xml:space="preserve">En caso de que un bien se encuentre totalmente depreciado, pero se considera que aún cuenta con vida útil, se determinará el tiempo aproximado de vida útil del bien mueble y se mantendrá en la contabilidad el valor correspondiente, para esto se cancelará el monto de la revaluación total de la depreciación como el activo no circulante y el monto de la depreciación acumulada aplicada hasta </w:t>
      </w:r>
      <w:r w:rsidRPr="00CF40B9">
        <w:rPr>
          <w:rFonts w:eastAsia="Times New Roman" w:cs="Times New Roman"/>
          <w:bCs/>
          <w:color w:val="000000"/>
          <w:sz w:val="22"/>
          <w:szCs w:val="22"/>
          <w:lang w:eastAsia="es-MX"/>
        </w:rPr>
        <w:lastRenderedPageBreak/>
        <w:t>por el importe que corresponda al periodo de la vida útil determinada y será sujeto nuevamente al proceso de la depreciación, y el titular de esta área deberá dejar constancia por escrito que se siguió para la determinación del tiempo de vida útil.</w:t>
      </w:r>
    </w:p>
    <w:p w14:paraId="46B76A2F" w14:textId="77777777" w:rsidR="002B0869" w:rsidRPr="00CF40B9" w:rsidRDefault="002B0869" w:rsidP="002B0869">
      <w:pPr>
        <w:widowControl w:val="0"/>
        <w:kinsoku w:val="0"/>
        <w:spacing w:before="0" w:after="0"/>
        <w:contextualSpacing/>
        <w:rPr>
          <w:rFonts w:eastAsia="Times New Roman" w:cs="Times New Roman"/>
          <w:bCs/>
          <w:color w:val="000000"/>
          <w:sz w:val="22"/>
          <w:szCs w:val="22"/>
          <w:lang w:eastAsia="es-MX"/>
        </w:rPr>
      </w:pPr>
    </w:p>
    <w:p w14:paraId="05716618" w14:textId="77777777" w:rsidR="002B0869" w:rsidRDefault="002B0869" w:rsidP="002B0869">
      <w:pPr>
        <w:widowControl w:val="0"/>
        <w:kinsoku w:val="0"/>
        <w:spacing w:before="0" w:after="0"/>
        <w:contextualSpacing/>
        <w:rPr>
          <w:rFonts w:eastAsia="Times New Roman" w:cs="Times New Roman"/>
          <w:bCs/>
          <w:color w:val="000000"/>
          <w:sz w:val="22"/>
          <w:szCs w:val="22"/>
          <w:lang w:eastAsia="es-MX"/>
        </w:rPr>
      </w:pPr>
      <w:r w:rsidRPr="00CF40B9">
        <w:rPr>
          <w:rFonts w:eastAsia="Times New Roman" w:cs="Times New Roman"/>
          <w:bCs/>
          <w:color w:val="000000"/>
          <w:sz w:val="22"/>
          <w:szCs w:val="22"/>
          <w:lang w:eastAsia="es-MX"/>
        </w:rPr>
        <w:t>Las obras de arte y terrenos no serán sujetos al proceso de la depreciación.</w:t>
      </w:r>
    </w:p>
    <w:p w14:paraId="6A66521A" w14:textId="77777777" w:rsidR="002B0869" w:rsidRDefault="002B0869" w:rsidP="002B0869">
      <w:pPr>
        <w:widowControl w:val="0"/>
        <w:kinsoku w:val="0"/>
        <w:spacing w:before="0" w:after="0"/>
        <w:contextualSpacing/>
        <w:rPr>
          <w:rFonts w:eastAsia="Times New Roman" w:cs="Times New Roman"/>
          <w:bCs/>
          <w:color w:val="000000"/>
          <w:sz w:val="22"/>
          <w:szCs w:val="22"/>
          <w:lang w:eastAsia="es-MX"/>
        </w:rPr>
      </w:pPr>
    </w:p>
    <w:p w14:paraId="72688FCD" w14:textId="77777777" w:rsidR="002B0869" w:rsidRPr="00F91796" w:rsidRDefault="002B0869" w:rsidP="002B0869">
      <w:pPr>
        <w:rPr>
          <w:sz w:val="22"/>
        </w:rPr>
      </w:pPr>
      <w:r w:rsidRPr="00CB37D4">
        <w:rPr>
          <w:sz w:val="22"/>
        </w:rPr>
        <w:t>Para tales efectos se toma como referencia los Parámetros de Estimación de Vida Útil, recomendación emitida por el Consejo Nacional de Armonización</w:t>
      </w:r>
      <w:r w:rsidRPr="00F91796">
        <w:rPr>
          <w:sz w:val="22"/>
        </w:rPr>
        <w:t xml:space="preserve"> Contable (CONAC), y estructurada en la “Guía de vida útil estimada y porcentajes de depreciación”, considerando un uso normal y adecuado a las características de los bienes, el porcentaje verificado para su aplicación de la Depreciación y amortización se clasifica en los siguientes rubros:</w:t>
      </w:r>
    </w:p>
    <w:tbl>
      <w:tblPr>
        <w:tblW w:w="8912" w:type="dxa"/>
        <w:tblInd w:w="151" w:type="dxa"/>
        <w:tblLayout w:type="fixed"/>
        <w:tblCellMar>
          <w:left w:w="0" w:type="dxa"/>
          <w:right w:w="0" w:type="dxa"/>
        </w:tblCellMar>
        <w:tblLook w:val="01E0" w:firstRow="1" w:lastRow="1" w:firstColumn="1" w:lastColumn="1" w:noHBand="0" w:noVBand="0"/>
      </w:tblPr>
      <w:tblGrid>
        <w:gridCol w:w="72"/>
        <w:gridCol w:w="910"/>
        <w:gridCol w:w="72"/>
        <w:gridCol w:w="5455"/>
        <w:gridCol w:w="40"/>
        <w:gridCol w:w="47"/>
        <w:gridCol w:w="774"/>
        <w:gridCol w:w="7"/>
        <w:gridCol w:w="87"/>
        <w:gridCol w:w="1448"/>
      </w:tblGrid>
      <w:tr w:rsidR="002B0869" w:rsidRPr="00F91796" w14:paraId="2131C521" w14:textId="77777777" w:rsidTr="00C229F8">
        <w:trPr>
          <w:trHeight w:hRule="exact" w:val="247"/>
        </w:trPr>
        <w:tc>
          <w:tcPr>
            <w:tcW w:w="982" w:type="dxa"/>
            <w:gridSpan w:val="2"/>
            <w:tcBorders>
              <w:top w:val="single" w:sz="7" w:space="0" w:color="000000"/>
              <w:left w:val="single" w:sz="7" w:space="0" w:color="000000"/>
              <w:bottom w:val="nil"/>
              <w:right w:val="single" w:sz="7" w:space="0" w:color="000000"/>
            </w:tcBorders>
            <w:shd w:val="clear" w:color="auto" w:fill="DFDFDF"/>
          </w:tcPr>
          <w:p w14:paraId="30619BF1" w14:textId="77777777" w:rsidR="002B0869" w:rsidRPr="00F91796" w:rsidRDefault="002B0869" w:rsidP="00C229F8"/>
        </w:tc>
        <w:tc>
          <w:tcPr>
            <w:tcW w:w="5614" w:type="dxa"/>
            <w:gridSpan w:val="4"/>
            <w:tcBorders>
              <w:top w:val="single" w:sz="7" w:space="0" w:color="000000"/>
              <w:left w:val="single" w:sz="7" w:space="0" w:color="000000"/>
              <w:bottom w:val="nil"/>
              <w:right w:val="single" w:sz="27" w:space="0" w:color="DFDFDF"/>
            </w:tcBorders>
            <w:shd w:val="clear" w:color="auto" w:fill="DFDFDF"/>
          </w:tcPr>
          <w:p w14:paraId="2BA838C1" w14:textId="77777777" w:rsidR="002B0869" w:rsidRPr="00F91796" w:rsidRDefault="002B0869" w:rsidP="00C229F8"/>
        </w:tc>
        <w:tc>
          <w:tcPr>
            <w:tcW w:w="781" w:type="dxa"/>
            <w:gridSpan w:val="2"/>
            <w:vMerge w:val="restart"/>
            <w:tcBorders>
              <w:top w:val="single" w:sz="7" w:space="0" w:color="000000"/>
              <w:left w:val="single" w:sz="27" w:space="0" w:color="DFDFDF"/>
              <w:right w:val="single" w:sz="27" w:space="0" w:color="DFDFDF"/>
            </w:tcBorders>
            <w:shd w:val="clear" w:color="auto" w:fill="DFDFDF"/>
          </w:tcPr>
          <w:p w14:paraId="6F961389" w14:textId="77777777" w:rsidR="002B0869" w:rsidRPr="00F91796" w:rsidRDefault="002B0869" w:rsidP="00C229F8">
            <w:pPr>
              <w:spacing w:before="22" w:line="278" w:lineRule="auto"/>
              <w:ind w:left="17" w:right="46"/>
              <w:jc w:val="center"/>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z w:val="18"/>
                <w:szCs w:val="18"/>
              </w:rPr>
              <w:t>ñ</w:t>
            </w:r>
            <w:r w:rsidRPr="00F91796">
              <w:rPr>
                <w:rFonts w:ascii="Arial" w:eastAsia="Arial" w:hAnsi="Arial" w:cs="Arial"/>
                <w:b/>
                <w:spacing w:val="1"/>
                <w:sz w:val="18"/>
                <w:szCs w:val="18"/>
              </w:rPr>
              <w:t>o</w:t>
            </w:r>
            <w:r w:rsidRPr="00F91796">
              <w:rPr>
                <w:rFonts w:ascii="Arial" w:eastAsia="Arial" w:hAnsi="Arial" w:cs="Arial"/>
                <w:b/>
                <w:sz w:val="18"/>
                <w:szCs w:val="18"/>
              </w:rPr>
              <w:t>s 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v</w:t>
            </w:r>
            <w:r w:rsidRPr="00F91796">
              <w:rPr>
                <w:rFonts w:ascii="Arial" w:eastAsia="Arial" w:hAnsi="Arial" w:cs="Arial"/>
                <w:b/>
                <w:sz w:val="18"/>
                <w:szCs w:val="18"/>
              </w:rPr>
              <w:t>i</w:t>
            </w:r>
            <w:r w:rsidRPr="00F91796">
              <w:rPr>
                <w:rFonts w:ascii="Arial" w:eastAsia="Arial" w:hAnsi="Arial" w:cs="Arial"/>
                <w:b/>
                <w:spacing w:val="1"/>
                <w:sz w:val="18"/>
                <w:szCs w:val="18"/>
              </w:rPr>
              <w:t>d</w:t>
            </w:r>
            <w:r w:rsidRPr="00F91796">
              <w:rPr>
                <w:rFonts w:ascii="Arial" w:eastAsia="Arial" w:hAnsi="Arial" w:cs="Arial"/>
                <w:b/>
                <w:sz w:val="18"/>
                <w:szCs w:val="18"/>
              </w:rPr>
              <w:t>a út</w:t>
            </w:r>
            <w:r w:rsidRPr="00F91796">
              <w:rPr>
                <w:rFonts w:ascii="Arial" w:eastAsia="Arial" w:hAnsi="Arial" w:cs="Arial"/>
                <w:b/>
                <w:spacing w:val="1"/>
                <w:sz w:val="18"/>
                <w:szCs w:val="18"/>
              </w:rPr>
              <w:t>i</w:t>
            </w:r>
            <w:r w:rsidRPr="00F91796">
              <w:rPr>
                <w:rFonts w:ascii="Arial" w:eastAsia="Arial" w:hAnsi="Arial" w:cs="Arial"/>
                <w:b/>
                <w:sz w:val="18"/>
                <w:szCs w:val="18"/>
              </w:rPr>
              <w:t>l</w:t>
            </w:r>
          </w:p>
        </w:tc>
        <w:tc>
          <w:tcPr>
            <w:tcW w:w="87" w:type="dxa"/>
            <w:vMerge w:val="restart"/>
            <w:tcBorders>
              <w:top w:val="nil"/>
              <w:left w:val="single" w:sz="27" w:space="0" w:color="DFDFDF"/>
              <w:right w:val="single" w:sz="27" w:space="0" w:color="DFDFDF"/>
            </w:tcBorders>
          </w:tcPr>
          <w:p w14:paraId="6B785D49" w14:textId="77777777" w:rsidR="002B0869" w:rsidRPr="00F91796" w:rsidRDefault="002B0869" w:rsidP="00C229F8"/>
        </w:tc>
        <w:tc>
          <w:tcPr>
            <w:tcW w:w="1448" w:type="dxa"/>
            <w:vMerge w:val="restart"/>
            <w:tcBorders>
              <w:top w:val="single" w:sz="7" w:space="0" w:color="000000"/>
              <w:left w:val="single" w:sz="27" w:space="0" w:color="DFDFDF"/>
              <w:right w:val="single" w:sz="27" w:space="0" w:color="DFDFDF"/>
            </w:tcBorders>
            <w:shd w:val="clear" w:color="auto" w:fill="DFDFDF"/>
          </w:tcPr>
          <w:p w14:paraId="039FB6BB" w14:textId="77777777" w:rsidR="002B0869" w:rsidRPr="00F91796" w:rsidRDefault="002B0869" w:rsidP="00C229F8">
            <w:pPr>
              <w:spacing w:before="22" w:line="278" w:lineRule="auto"/>
              <w:ind w:left="34" w:right="101" w:firstLine="2"/>
              <w:jc w:val="center"/>
              <w:rPr>
                <w:rFonts w:ascii="Arial" w:eastAsia="Arial" w:hAnsi="Arial" w:cs="Arial"/>
                <w:sz w:val="18"/>
                <w:szCs w:val="18"/>
              </w:rPr>
            </w:pPr>
            <w:r w:rsidRPr="00F91796">
              <w:rPr>
                <w:rFonts w:ascii="Arial" w:eastAsia="Arial" w:hAnsi="Arial" w:cs="Arial"/>
                <w:b/>
                <w:sz w:val="18"/>
                <w:szCs w:val="18"/>
              </w:rPr>
              <w:t>%</w:t>
            </w:r>
            <w:r w:rsidRPr="00F91796">
              <w:rPr>
                <w:rFonts w:ascii="Arial" w:eastAsia="Arial" w:hAnsi="Arial" w:cs="Arial"/>
                <w:b/>
                <w:spacing w:val="-4"/>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 d</w:t>
            </w:r>
            <w:r w:rsidRPr="00F91796">
              <w:rPr>
                <w:rFonts w:ascii="Arial" w:eastAsia="Arial" w:hAnsi="Arial" w:cs="Arial"/>
                <w:b/>
                <w:spacing w:val="1"/>
                <w:sz w:val="18"/>
                <w:szCs w:val="18"/>
              </w:rPr>
              <w:t>e</w:t>
            </w:r>
            <w:r w:rsidRPr="00F91796">
              <w:rPr>
                <w:rFonts w:ascii="Arial" w:eastAsia="Arial" w:hAnsi="Arial" w:cs="Arial"/>
                <w:b/>
                <w:sz w:val="18"/>
                <w:szCs w:val="18"/>
              </w:rPr>
              <w:t>pr</w:t>
            </w:r>
            <w:r w:rsidRPr="00F91796">
              <w:rPr>
                <w:rFonts w:ascii="Arial" w:eastAsia="Arial" w:hAnsi="Arial" w:cs="Arial"/>
                <w:b/>
                <w:spacing w:val="1"/>
                <w:sz w:val="18"/>
                <w:szCs w:val="18"/>
              </w:rPr>
              <w:t>ec</w:t>
            </w:r>
            <w:r w:rsidRPr="00F91796">
              <w:rPr>
                <w:rFonts w:ascii="Arial" w:eastAsia="Arial" w:hAnsi="Arial" w:cs="Arial"/>
                <w:b/>
                <w:sz w:val="18"/>
                <w:szCs w:val="18"/>
              </w:rPr>
              <w:t>i</w:t>
            </w:r>
            <w:r w:rsidRPr="00F91796">
              <w:rPr>
                <w:rFonts w:ascii="Arial" w:eastAsia="Arial" w:hAnsi="Arial" w:cs="Arial"/>
                <w:b/>
                <w:spacing w:val="-1"/>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1"/>
                <w:sz w:val="18"/>
                <w:szCs w:val="18"/>
              </w:rPr>
              <w:t>ó</w:t>
            </w:r>
            <w:r w:rsidRPr="00F91796">
              <w:rPr>
                <w:rFonts w:ascii="Arial" w:eastAsia="Arial" w:hAnsi="Arial" w:cs="Arial"/>
                <w:b/>
                <w:sz w:val="18"/>
                <w:szCs w:val="18"/>
              </w:rPr>
              <w:t xml:space="preserve">n </w:t>
            </w:r>
            <w:r w:rsidRPr="00F91796">
              <w:rPr>
                <w:rFonts w:ascii="Arial" w:eastAsia="Arial" w:hAnsi="Arial" w:cs="Arial"/>
                <w:b/>
                <w:spacing w:val="1"/>
                <w:sz w:val="18"/>
                <w:szCs w:val="18"/>
              </w:rPr>
              <w:t>a</w:t>
            </w:r>
            <w:r w:rsidRPr="00F91796">
              <w:rPr>
                <w:rFonts w:ascii="Arial" w:eastAsia="Arial" w:hAnsi="Arial" w:cs="Arial"/>
                <w:b/>
                <w:sz w:val="18"/>
                <w:szCs w:val="18"/>
              </w:rPr>
              <w:t>n</w:t>
            </w:r>
            <w:r w:rsidRPr="00F91796">
              <w:rPr>
                <w:rFonts w:ascii="Arial" w:eastAsia="Arial" w:hAnsi="Arial" w:cs="Arial"/>
                <w:b/>
                <w:spacing w:val="1"/>
                <w:sz w:val="18"/>
                <w:szCs w:val="18"/>
              </w:rPr>
              <w:t>ua</w:t>
            </w:r>
            <w:r w:rsidRPr="00F91796">
              <w:rPr>
                <w:rFonts w:ascii="Arial" w:eastAsia="Arial" w:hAnsi="Arial" w:cs="Arial"/>
                <w:b/>
                <w:sz w:val="18"/>
                <w:szCs w:val="18"/>
              </w:rPr>
              <w:t>l</w:t>
            </w:r>
          </w:p>
        </w:tc>
      </w:tr>
      <w:tr w:rsidR="002B0869" w:rsidRPr="00F91796" w14:paraId="05B7976E" w14:textId="77777777" w:rsidTr="00C229F8">
        <w:trPr>
          <w:trHeight w:hRule="exact" w:val="343"/>
        </w:trPr>
        <w:tc>
          <w:tcPr>
            <w:tcW w:w="72" w:type="dxa"/>
            <w:tcBorders>
              <w:top w:val="nil"/>
              <w:left w:val="single" w:sz="27" w:space="0" w:color="DFDFDF"/>
              <w:bottom w:val="nil"/>
              <w:right w:val="nil"/>
            </w:tcBorders>
          </w:tcPr>
          <w:p w14:paraId="0D644860" w14:textId="77777777" w:rsidR="002B0869" w:rsidRPr="00F91796" w:rsidRDefault="002B0869" w:rsidP="00C229F8"/>
        </w:tc>
        <w:tc>
          <w:tcPr>
            <w:tcW w:w="910" w:type="dxa"/>
            <w:tcBorders>
              <w:top w:val="nil"/>
              <w:left w:val="nil"/>
              <w:bottom w:val="nil"/>
              <w:right w:val="single" w:sz="27" w:space="0" w:color="DFDFDF"/>
            </w:tcBorders>
            <w:shd w:val="clear" w:color="auto" w:fill="DFDFDF"/>
          </w:tcPr>
          <w:p w14:paraId="5B3945FE" w14:textId="77777777" w:rsidR="002B0869" w:rsidRPr="00F91796" w:rsidRDefault="002B0869" w:rsidP="00C229F8">
            <w:pPr>
              <w:spacing w:before="23"/>
              <w:ind w:left="113"/>
              <w:rPr>
                <w:rFonts w:ascii="Arial" w:eastAsia="Arial" w:hAnsi="Arial" w:cs="Arial"/>
                <w:sz w:val="18"/>
                <w:szCs w:val="18"/>
              </w:rPr>
            </w:pPr>
            <w:r w:rsidRPr="00F91796">
              <w:rPr>
                <w:rFonts w:ascii="Arial" w:eastAsia="Arial" w:hAnsi="Arial" w:cs="Arial"/>
                <w:b/>
                <w:sz w:val="18"/>
                <w:szCs w:val="18"/>
              </w:rPr>
              <w:t>Cu</w:t>
            </w:r>
            <w:r w:rsidRPr="00F91796">
              <w:rPr>
                <w:rFonts w:ascii="Arial" w:eastAsia="Arial" w:hAnsi="Arial" w:cs="Arial"/>
                <w:b/>
                <w:spacing w:val="1"/>
                <w:sz w:val="18"/>
                <w:szCs w:val="18"/>
              </w:rPr>
              <w:t>e</w:t>
            </w:r>
            <w:r w:rsidRPr="00F91796">
              <w:rPr>
                <w:rFonts w:ascii="Arial" w:eastAsia="Arial" w:hAnsi="Arial" w:cs="Arial"/>
                <w:b/>
                <w:sz w:val="18"/>
                <w:szCs w:val="18"/>
              </w:rPr>
              <w:t>nta</w:t>
            </w:r>
          </w:p>
        </w:tc>
        <w:tc>
          <w:tcPr>
            <w:tcW w:w="72" w:type="dxa"/>
            <w:tcBorders>
              <w:top w:val="nil"/>
              <w:left w:val="single" w:sz="27" w:space="0" w:color="DFDFDF"/>
              <w:bottom w:val="nil"/>
              <w:right w:val="nil"/>
            </w:tcBorders>
          </w:tcPr>
          <w:p w14:paraId="3F3F072D" w14:textId="77777777" w:rsidR="002B0869" w:rsidRPr="00F91796" w:rsidRDefault="002B0869" w:rsidP="00C229F8"/>
        </w:tc>
        <w:tc>
          <w:tcPr>
            <w:tcW w:w="5455" w:type="dxa"/>
            <w:tcBorders>
              <w:top w:val="nil"/>
              <w:left w:val="nil"/>
              <w:bottom w:val="nil"/>
              <w:right w:val="single" w:sz="27" w:space="0" w:color="DFDFDF"/>
            </w:tcBorders>
            <w:shd w:val="clear" w:color="auto" w:fill="DFDFDF"/>
          </w:tcPr>
          <w:p w14:paraId="70032462" w14:textId="77777777" w:rsidR="002B0869" w:rsidRPr="00F91796" w:rsidRDefault="002B0869" w:rsidP="00C229F8">
            <w:pPr>
              <w:spacing w:before="23"/>
              <w:ind w:left="2262" w:right="2262"/>
              <w:jc w:val="center"/>
              <w:rPr>
                <w:rFonts w:ascii="Arial" w:eastAsia="Arial" w:hAnsi="Arial" w:cs="Arial"/>
                <w:sz w:val="18"/>
                <w:szCs w:val="18"/>
              </w:rPr>
            </w:pPr>
            <w:r w:rsidRPr="00F91796">
              <w:rPr>
                <w:rFonts w:ascii="Arial" w:eastAsia="Arial" w:hAnsi="Arial" w:cs="Arial"/>
                <w:b/>
                <w:sz w:val="18"/>
                <w:szCs w:val="18"/>
              </w:rPr>
              <w:t>Con</w:t>
            </w:r>
            <w:r w:rsidRPr="00F91796">
              <w:rPr>
                <w:rFonts w:ascii="Arial" w:eastAsia="Arial" w:hAnsi="Arial" w:cs="Arial"/>
                <w:b/>
                <w:spacing w:val="1"/>
                <w:sz w:val="18"/>
                <w:szCs w:val="18"/>
              </w:rPr>
              <w:t>ce</w:t>
            </w:r>
            <w:r w:rsidRPr="00F91796">
              <w:rPr>
                <w:rFonts w:ascii="Arial" w:eastAsia="Arial" w:hAnsi="Arial" w:cs="Arial"/>
                <w:b/>
                <w:sz w:val="18"/>
                <w:szCs w:val="18"/>
              </w:rPr>
              <w:t>pto</w:t>
            </w:r>
          </w:p>
        </w:tc>
        <w:tc>
          <w:tcPr>
            <w:tcW w:w="87" w:type="dxa"/>
            <w:gridSpan w:val="2"/>
            <w:tcBorders>
              <w:top w:val="nil"/>
              <w:left w:val="single" w:sz="27" w:space="0" w:color="DFDFDF"/>
              <w:bottom w:val="nil"/>
              <w:right w:val="single" w:sz="27" w:space="0" w:color="DFDFDF"/>
            </w:tcBorders>
          </w:tcPr>
          <w:p w14:paraId="4397B80A" w14:textId="77777777" w:rsidR="002B0869" w:rsidRPr="00F91796" w:rsidRDefault="002B0869" w:rsidP="00C229F8"/>
        </w:tc>
        <w:tc>
          <w:tcPr>
            <w:tcW w:w="781" w:type="dxa"/>
            <w:gridSpan w:val="2"/>
            <w:vMerge/>
            <w:tcBorders>
              <w:left w:val="single" w:sz="27" w:space="0" w:color="DFDFDF"/>
              <w:right w:val="single" w:sz="27" w:space="0" w:color="DFDFDF"/>
            </w:tcBorders>
            <w:shd w:val="clear" w:color="auto" w:fill="DFDFDF"/>
          </w:tcPr>
          <w:p w14:paraId="2E7C3BF7" w14:textId="77777777" w:rsidR="002B0869" w:rsidRPr="00F91796" w:rsidRDefault="002B0869" w:rsidP="00C229F8"/>
        </w:tc>
        <w:tc>
          <w:tcPr>
            <w:tcW w:w="87" w:type="dxa"/>
            <w:vMerge/>
            <w:tcBorders>
              <w:left w:val="single" w:sz="27" w:space="0" w:color="DFDFDF"/>
              <w:right w:val="single" w:sz="27" w:space="0" w:color="DFDFDF"/>
            </w:tcBorders>
          </w:tcPr>
          <w:p w14:paraId="6F152E85" w14:textId="77777777" w:rsidR="002B0869" w:rsidRPr="00F91796" w:rsidRDefault="002B0869" w:rsidP="00C229F8"/>
        </w:tc>
        <w:tc>
          <w:tcPr>
            <w:tcW w:w="1448" w:type="dxa"/>
            <w:vMerge/>
            <w:tcBorders>
              <w:left w:val="single" w:sz="27" w:space="0" w:color="DFDFDF"/>
              <w:right w:val="single" w:sz="27" w:space="0" w:color="DFDFDF"/>
            </w:tcBorders>
            <w:shd w:val="clear" w:color="auto" w:fill="DFDFDF"/>
          </w:tcPr>
          <w:p w14:paraId="1AA6A293" w14:textId="77777777" w:rsidR="002B0869" w:rsidRPr="00F91796" w:rsidRDefault="002B0869" w:rsidP="00C229F8"/>
        </w:tc>
      </w:tr>
      <w:tr w:rsidR="002B0869" w:rsidRPr="00F91796" w14:paraId="52F0A190" w14:textId="77777777" w:rsidTr="00C229F8">
        <w:trPr>
          <w:trHeight w:hRule="exact" w:val="248"/>
        </w:trPr>
        <w:tc>
          <w:tcPr>
            <w:tcW w:w="982" w:type="dxa"/>
            <w:gridSpan w:val="2"/>
            <w:tcBorders>
              <w:top w:val="nil"/>
              <w:left w:val="single" w:sz="7" w:space="0" w:color="000000"/>
              <w:bottom w:val="single" w:sz="7" w:space="0" w:color="000000"/>
              <w:right w:val="single" w:sz="7" w:space="0" w:color="000000"/>
            </w:tcBorders>
            <w:shd w:val="clear" w:color="auto" w:fill="DFDFDF"/>
          </w:tcPr>
          <w:p w14:paraId="6F390903" w14:textId="77777777" w:rsidR="002B0869" w:rsidRPr="00F91796" w:rsidRDefault="002B0869" w:rsidP="00C229F8"/>
        </w:tc>
        <w:tc>
          <w:tcPr>
            <w:tcW w:w="5614" w:type="dxa"/>
            <w:gridSpan w:val="4"/>
            <w:tcBorders>
              <w:top w:val="nil"/>
              <w:left w:val="single" w:sz="7" w:space="0" w:color="000000"/>
              <w:bottom w:val="single" w:sz="7" w:space="0" w:color="000000"/>
              <w:right w:val="single" w:sz="27" w:space="0" w:color="DFDFDF"/>
            </w:tcBorders>
            <w:shd w:val="clear" w:color="auto" w:fill="DFDFDF"/>
          </w:tcPr>
          <w:p w14:paraId="7A1B9ED0" w14:textId="77777777" w:rsidR="002B0869" w:rsidRPr="00F91796" w:rsidRDefault="002B0869" w:rsidP="00C229F8"/>
        </w:tc>
        <w:tc>
          <w:tcPr>
            <w:tcW w:w="781" w:type="dxa"/>
            <w:gridSpan w:val="2"/>
            <w:vMerge/>
            <w:tcBorders>
              <w:left w:val="single" w:sz="27" w:space="0" w:color="DFDFDF"/>
              <w:bottom w:val="single" w:sz="7" w:space="0" w:color="000000"/>
              <w:right w:val="single" w:sz="27" w:space="0" w:color="DFDFDF"/>
            </w:tcBorders>
            <w:shd w:val="clear" w:color="auto" w:fill="DFDFDF"/>
          </w:tcPr>
          <w:p w14:paraId="10A892F8" w14:textId="77777777" w:rsidR="002B0869" w:rsidRPr="00F91796" w:rsidRDefault="002B0869" w:rsidP="00C229F8"/>
        </w:tc>
        <w:tc>
          <w:tcPr>
            <w:tcW w:w="87" w:type="dxa"/>
            <w:vMerge/>
            <w:tcBorders>
              <w:left w:val="single" w:sz="27" w:space="0" w:color="DFDFDF"/>
              <w:bottom w:val="nil"/>
              <w:right w:val="single" w:sz="27" w:space="0" w:color="DFDFDF"/>
            </w:tcBorders>
          </w:tcPr>
          <w:p w14:paraId="2E1ADBE2" w14:textId="77777777" w:rsidR="002B0869" w:rsidRPr="00F91796" w:rsidRDefault="002B0869" w:rsidP="00C229F8"/>
        </w:tc>
        <w:tc>
          <w:tcPr>
            <w:tcW w:w="1448" w:type="dxa"/>
            <w:vMerge/>
            <w:tcBorders>
              <w:left w:val="single" w:sz="27" w:space="0" w:color="DFDFDF"/>
              <w:bottom w:val="single" w:sz="7" w:space="0" w:color="000000"/>
              <w:right w:val="single" w:sz="27" w:space="0" w:color="DFDFDF"/>
            </w:tcBorders>
            <w:shd w:val="clear" w:color="auto" w:fill="DFDFDF"/>
          </w:tcPr>
          <w:p w14:paraId="577231E2" w14:textId="77777777" w:rsidR="002B0869" w:rsidRPr="00F91796" w:rsidRDefault="002B0869" w:rsidP="00C229F8"/>
        </w:tc>
      </w:tr>
      <w:tr w:rsidR="002B0869" w:rsidRPr="00F91796" w14:paraId="273EC9D7"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472F1D1"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.3</w:t>
            </w:r>
          </w:p>
        </w:tc>
        <w:tc>
          <w:tcPr>
            <w:tcW w:w="7930" w:type="dxa"/>
            <w:gridSpan w:val="8"/>
            <w:tcBorders>
              <w:top w:val="nil"/>
              <w:left w:val="single" w:sz="7" w:space="0" w:color="000000"/>
              <w:bottom w:val="nil"/>
              <w:right w:val="single" w:sz="7" w:space="0" w:color="000000"/>
            </w:tcBorders>
          </w:tcPr>
          <w:p w14:paraId="78B3DD54" w14:textId="77777777" w:rsidR="002B0869" w:rsidRPr="00F91796" w:rsidRDefault="002B0869" w:rsidP="00C229F8">
            <w:pPr>
              <w:spacing w:before="30"/>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M</w:t>
            </w:r>
            <w:r w:rsidRPr="00F91796">
              <w:rPr>
                <w:rFonts w:ascii="Arial" w:eastAsia="Arial" w:hAnsi="Arial" w:cs="Arial"/>
                <w:b/>
                <w:sz w:val="18"/>
                <w:szCs w:val="18"/>
              </w:rPr>
              <w:t>UE</w:t>
            </w:r>
            <w:r w:rsidRPr="00F91796">
              <w:rPr>
                <w:rFonts w:ascii="Arial" w:eastAsia="Arial" w:hAnsi="Arial" w:cs="Arial"/>
                <w:b/>
                <w:spacing w:val="-1"/>
                <w:sz w:val="18"/>
                <w:szCs w:val="18"/>
              </w:rPr>
              <w:t>B</w:t>
            </w:r>
            <w:r w:rsidRPr="00F91796">
              <w:rPr>
                <w:rFonts w:ascii="Arial" w:eastAsia="Arial" w:hAnsi="Arial" w:cs="Arial"/>
                <w:b/>
                <w:sz w:val="18"/>
                <w:szCs w:val="18"/>
              </w:rPr>
              <w:t>LES,</w:t>
            </w:r>
            <w:r w:rsidRPr="00F91796">
              <w:rPr>
                <w:rFonts w:ascii="Arial" w:eastAsia="Arial" w:hAnsi="Arial" w:cs="Arial"/>
                <w:b/>
                <w:spacing w:val="1"/>
                <w:sz w:val="18"/>
                <w:szCs w:val="18"/>
              </w:rPr>
              <w:t xml:space="preserve"> I</w:t>
            </w:r>
            <w:r w:rsidRPr="00F91796">
              <w:rPr>
                <w:rFonts w:ascii="Arial" w:eastAsia="Arial" w:hAnsi="Arial" w:cs="Arial"/>
                <w:b/>
                <w:sz w:val="18"/>
                <w:szCs w:val="18"/>
              </w:rPr>
              <w:t>NFR</w:t>
            </w:r>
            <w:r w:rsidRPr="00F91796">
              <w:rPr>
                <w:rFonts w:ascii="Arial" w:eastAsia="Arial" w:hAnsi="Arial" w:cs="Arial"/>
                <w:b/>
                <w:spacing w:val="-1"/>
                <w:sz w:val="18"/>
                <w:szCs w:val="18"/>
              </w:rPr>
              <w:t>A</w:t>
            </w:r>
            <w:r w:rsidRPr="00F91796">
              <w:rPr>
                <w:rFonts w:ascii="Arial" w:eastAsia="Arial" w:hAnsi="Arial" w:cs="Arial"/>
                <w:b/>
                <w:sz w:val="18"/>
                <w:szCs w:val="18"/>
              </w:rPr>
              <w:t>ESTRU</w:t>
            </w:r>
            <w:r w:rsidRPr="00F91796">
              <w:rPr>
                <w:rFonts w:ascii="Arial" w:eastAsia="Arial" w:hAnsi="Arial" w:cs="Arial"/>
                <w:b/>
                <w:spacing w:val="-1"/>
                <w:sz w:val="18"/>
                <w:szCs w:val="18"/>
              </w:rPr>
              <w:t>C</w:t>
            </w:r>
            <w:r w:rsidRPr="00F91796">
              <w:rPr>
                <w:rFonts w:ascii="Arial" w:eastAsia="Arial" w:hAnsi="Arial" w:cs="Arial"/>
                <w:b/>
                <w:sz w:val="18"/>
                <w:szCs w:val="18"/>
              </w:rPr>
              <w:t>TU</w:t>
            </w:r>
            <w:r w:rsidRPr="00F91796">
              <w:rPr>
                <w:rFonts w:ascii="Arial" w:eastAsia="Arial" w:hAnsi="Arial" w:cs="Arial"/>
                <w:b/>
                <w:spacing w:val="2"/>
                <w:sz w:val="18"/>
                <w:szCs w:val="18"/>
              </w:rPr>
              <w:t>R</w:t>
            </w:r>
            <w:r w:rsidRPr="00F91796">
              <w:rPr>
                <w:rFonts w:ascii="Arial" w:eastAsia="Arial" w:hAnsi="Arial" w:cs="Arial"/>
                <w:b/>
                <w:sz w:val="18"/>
                <w:szCs w:val="18"/>
              </w:rPr>
              <w:t>A</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1"/>
                <w:sz w:val="18"/>
                <w:szCs w:val="18"/>
              </w:rPr>
              <w:t xml:space="preserve"> </w:t>
            </w:r>
            <w:r w:rsidRPr="00F91796">
              <w:rPr>
                <w:rFonts w:ascii="Arial" w:eastAsia="Arial" w:hAnsi="Arial" w:cs="Arial"/>
                <w:b/>
                <w:sz w:val="18"/>
                <w:szCs w:val="18"/>
              </w:rPr>
              <w:t>C</w:t>
            </w:r>
            <w:r w:rsidRPr="00F91796">
              <w:rPr>
                <w:rFonts w:ascii="Arial" w:eastAsia="Arial" w:hAnsi="Arial" w:cs="Arial"/>
                <w:b/>
                <w:spacing w:val="-1"/>
                <w:sz w:val="18"/>
                <w:szCs w:val="18"/>
              </w:rPr>
              <w:t>O</w:t>
            </w:r>
            <w:r w:rsidRPr="00F91796">
              <w:rPr>
                <w:rFonts w:ascii="Arial" w:eastAsia="Arial" w:hAnsi="Arial" w:cs="Arial"/>
                <w:b/>
                <w:sz w:val="18"/>
                <w:szCs w:val="18"/>
              </w:rPr>
              <w:t>NSTR</w:t>
            </w:r>
            <w:r w:rsidRPr="00F91796">
              <w:rPr>
                <w:rFonts w:ascii="Arial" w:eastAsia="Arial" w:hAnsi="Arial" w:cs="Arial"/>
                <w:b/>
                <w:spacing w:val="1"/>
                <w:sz w:val="18"/>
                <w:szCs w:val="18"/>
              </w:rPr>
              <w:t>U</w:t>
            </w:r>
            <w:r w:rsidRPr="00F91796">
              <w:rPr>
                <w:rFonts w:ascii="Arial" w:eastAsia="Arial" w:hAnsi="Arial" w:cs="Arial"/>
                <w:b/>
                <w:sz w:val="18"/>
                <w:szCs w:val="18"/>
              </w:rPr>
              <w:t>C</w:t>
            </w:r>
            <w:r w:rsidRPr="00F91796">
              <w:rPr>
                <w:rFonts w:ascii="Arial" w:eastAsia="Arial" w:hAnsi="Arial" w:cs="Arial"/>
                <w:b/>
                <w:spacing w:val="-1"/>
                <w:sz w:val="18"/>
                <w:szCs w:val="18"/>
              </w:rPr>
              <w:t>C</w:t>
            </w:r>
            <w:r w:rsidRPr="00F91796">
              <w:rPr>
                <w:rFonts w:ascii="Arial" w:eastAsia="Arial" w:hAnsi="Arial" w:cs="Arial"/>
                <w:b/>
                <w:sz w:val="18"/>
                <w:szCs w:val="18"/>
              </w:rPr>
              <w:t>IO</w:t>
            </w:r>
            <w:r w:rsidRPr="00F91796">
              <w:rPr>
                <w:rFonts w:ascii="Arial" w:eastAsia="Arial" w:hAnsi="Arial" w:cs="Arial"/>
                <w:b/>
                <w:spacing w:val="-1"/>
                <w:sz w:val="18"/>
                <w:szCs w:val="18"/>
              </w:rPr>
              <w:t>N</w:t>
            </w:r>
            <w:r w:rsidRPr="00F91796">
              <w:rPr>
                <w:rFonts w:ascii="Arial" w:eastAsia="Arial" w:hAnsi="Arial" w:cs="Arial"/>
                <w:b/>
                <w:sz w:val="18"/>
                <w:szCs w:val="18"/>
              </w:rPr>
              <w:t>ES EN PR</w:t>
            </w:r>
            <w:r w:rsidRPr="00F91796">
              <w:rPr>
                <w:rFonts w:ascii="Arial" w:eastAsia="Arial" w:hAnsi="Arial" w:cs="Arial"/>
                <w:b/>
                <w:spacing w:val="-1"/>
                <w:sz w:val="18"/>
                <w:szCs w:val="18"/>
              </w:rPr>
              <w:t>O</w:t>
            </w:r>
            <w:r w:rsidRPr="00F91796">
              <w:rPr>
                <w:rFonts w:ascii="Arial" w:eastAsia="Arial" w:hAnsi="Arial" w:cs="Arial"/>
                <w:b/>
                <w:sz w:val="18"/>
                <w:szCs w:val="18"/>
              </w:rPr>
              <w:t>CE</w:t>
            </w:r>
            <w:r w:rsidRPr="00F91796">
              <w:rPr>
                <w:rFonts w:ascii="Arial" w:eastAsia="Arial" w:hAnsi="Arial" w:cs="Arial"/>
                <w:b/>
                <w:spacing w:val="2"/>
                <w:sz w:val="18"/>
                <w:szCs w:val="18"/>
              </w:rPr>
              <w:t>S</w:t>
            </w:r>
            <w:r w:rsidRPr="00F91796">
              <w:rPr>
                <w:rFonts w:ascii="Arial" w:eastAsia="Arial" w:hAnsi="Arial" w:cs="Arial"/>
                <w:b/>
                <w:sz w:val="18"/>
                <w:szCs w:val="18"/>
              </w:rPr>
              <w:t>O</w:t>
            </w:r>
          </w:p>
        </w:tc>
      </w:tr>
      <w:tr w:rsidR="002B0869" w:rsidRPr="00F91796" w14:paraId="17E8B90A"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ED20D5B"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4B572424"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iend</w:t>
            </w:r>
            <w:r w:rsidRPr="00F91796">
              <w:rPr>
                <w:rFonts w:ascii="Arial" w:eastAsia="Arial" w:hAnsi="Arial" w:cs="Arial"/>
                <w:spacing w:val="-2"/>
                <w:sz w:val="18"/>
                <w:szCs w:val="18"/>
              </w:rPr>
              <w:t>a</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691248E0"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50</w:t>
            </w:r>
          </w:p>
        </w:tc>
        <w:tc>
          <w:tcPr>
            <w:tcW w:w="1448" w:type="dxa"/>
            <w:tcBorders>
              <w:top w:val="single" w:sz="7" w:space="0" w:color="000000"/>
              <w:left w:val="single" w:sz="7" w:space="0" w:color="000000"/>
              <w:bottom w:val="single" w:sz="7" w:space="0" w:color="000000"/>
              <w:right w:val="single" w:sz="7" w:space="0" w:color="000000"/>
            </w:tcBorders>
          </w:tcPr>
          <w:p w14:paraId="7D82A45F" w14:textId="77777777" w:rsidR="002B0869" w:rsidRPr="00F91796" w:rsidRDefault="002B0869" w:rsidP="00C229F8">
            <w:pPr>
              <w:spacing w:before="22"/>
              <w:ind w:left="580" w:right="581"/>
              <w:jc w:val="center"/>
              <w:rPr>
                <w:rFonts w:ascii="Arial" w:eastAsia="Arial" w:hAnsi="Arial" w:cs="Arial"/>
                <w:sz w:val="18"/>
                <w:szCs w:val="18"/>
              </w:rPr>
            </w:pPr>
            <w:r w:rsidRPr="00F91796">
              <w:rPr>
                <w:rFonts w:ascii="Arial" w:eastAsia="Arial" w:hAnsi="Arial" w:cs="Arial"/>
                <w:sz w:val="18"/>
                <w:szCs w:val="18"/>
              </w:rPr>
              <w:t>2</w:t>
            </w:r>
          </w:p>
        </w:tc>
      </w:tr>
      <w:tr w:rsidR="002B0869" w:rsidRPr="00F91796" w14:paraId="74F3D35A"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560F7718"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2A58B1FB"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di</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No</w:t>
            </w:r>
            <w:r w:rsidRPr="00F91796">
              <w:rPr>
                <w:rFonts w:ascii="Arial" w:eastAsia="Arial" w:hAnsi="Arial" w:cs="Arial"/>
                <w:spacing w:val="1"/>
                <w:sz w:val="18"/>
                <w:szCs w:val="18"/>
              </w:rPr>
              <w:t xml:space="preserve"> </w:t>
            </w:r>
            <w:r w:rsidRPr="00F91796">
              <w:rPr>
                <w:rFonts w:ascii="Arial" w:eastAsia="Arial" w:hAnsi="Arial" w:cs="Arial"/>
                <w:sz w:val="18"/>
                <w:szCs w:val="18"/>
              </w:rPr>
              <w:t>H</w:t>
            </w:r>
            <w:r w:rsidRPr="00F91796">
              <w:rPr>
                <w:rFonts w:ascii="Arial" w:eastAsia="Arial" w:hAnsi="Arial" w:cs="Arial"/>
                <w:spacing w:val="-2"/>
                <w:sz w:val="18"/>
                <w:szCs w:val="18"/>
              </w:rPr>
              <w:t>a</w:t>
            </w:r>
            <w:r w:rsidRPr="00F91796">
              <w:rPr>
                <w:rFonts w:ascii="Arial" w:eastAsia="Arial" w:hAnsi="Arial" w:cs="Arial"/>
                <w:spacing w:val="1"/>
                <w:sz w:val="18"/>
                <w:szCs w:val="18"/>
              </w:rPr>
              <w:t>bi</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pacing w:val="-2"/>
                <w:sz w:val="18"/>
                <w:szCs w:val="18"/>
              </w:rPr>
              <w:t>l</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7B0B0FE"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30</w:t>
            </w:r>
          </w:p>
        </w:tc>
        <w:tc>
          <w:tcPr>
            <w:tcW w:w="1448" w:type="dxa"/>
            <w:tcBorders>
              <w:top w:val="single" w:sz="7" w:space="0" w:color="000000"/>
              <w:left w:val="single" w:sz="7" w:space="0" w:color="000000"/>
              <w:bottom w:val="single" w:sz="7" w:space="0" w:color="000000"/>
              <w:right w:val="single" w:sz="7" w:space="0" w:color="000000"/>
            </w:tcBorders>
          </w:tcPr>
          <w:p w14:paraId="4082CCB3" w14:textId="77777777" w:rsidR="002B0869" w:rsidRPr="00F91796" w:rsidRDefault="002B0869" w:rsidP="00C229F8">
            <w:pPr>
              <w:spacing w:before="22"/>
              <w:ind w:left="506" w:right="504"/>
              <w:jc w:val="center"/>
              <w:rPr>
                <w:rFonts w:ascii="Arial" w:eastAsia="Arial" w:hAnsi="Arial" w:cs="Arial"/>
                <w:sz w:val="18"/>
                <w:szCs w:val="18"/>
              </w:rPr>
            </w:pPr>
            <w:r w:rsidRPr="00F91796">
              <w:rPr>
                <w:rFonts w:ascii="Arial" w:eastAsia="Arial" w:hAnsi="Arial" w:cs="Arial"/>
                <w:spacing w:val="1"/>
                <w:sz w:val="18"/>
                <w:szCs w:val="18"/>
              </w:rPr>
              <w:t>3</w:t>
            </w:r>
            <w:r w:rsidRPr="00F91796">
              <w:rPr>
                <w:rFonts w:ascii="Arial" w:eastAsia="Arial" w:hAnsi="Arial" w:cs="Arial"/>
                <w:sz w:val="18"/>
                <w:szCs w:val="18"/>
              </w:rPr>
              <w:t>.3</w:t>
            </w:r>
          </w:p>
        </w:tc>
      </w:tr>
      <w:tr w:rsidR="002B0869" w:rsidRPr="00F91796" w14:paraId="2DF929D6"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9002C37"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4</w:t>
            </w:r>
          </w:p>
        </w:tc>
        <w:tc>
          <w:tcPr>
            <w:tcW w:w="5614" w:type="dxa"/>
            <w:gridSpan w:val="4"/>
            <w:tcBorders>
              <w:top w:val="single" w:sz="7" w:space="0" w:color="000000"/>
              <w:left w:val="single" w:sz="7" w:space="0" w:color="000000"/>
              <w:bottom w:val="single" w:sz="7" w:space="0" w:color="000000"/>
              <w:right w:val="single" w:sz="7" w:space="0" w:color="000000"/>
            </w:tcBorders>
          </w:tcPr>
          <w:p w14:paraId="26AD1206"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fr</w:t>
            </w:r>
            <w:r w:rsidRPr="00F91796">
              <w:rPr>
                <w:rFonts w:ascii="Arial" w:eastAsia="Arial" w:hAnsi="Arial" w:cs="Arial"/>
                <w:spacing w:val="1"/>
                <w:sz w:val="18"/>
                <w:szCs w:val="18"/>
              </w:rPr>
              <w:t>a</w:t>
            </w:r>
            <w:r w:rsidRPr="00F91796">
              <w:rPr>
                <w:rFonts w:ascii="Arial" w:eastAsia="Arial" w:hAnsi="Arial" w:cs="Arial"/>
                <w:spacing w:val="-2"/>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c</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68" w:type="dxa"/>
            <w:gridSpan w:val="3"/>
            <w:tcBorders>
              <w:top w:val="single" w:sz="7" w:space="0" w:color="000000"/>
              <w:left w:val="single" w:sz="7" w:space="0" w:color="000000"/>
              <w:bottom w:val="single" w:sz="7" w:space="0" w:color="000000"/>
              <w:right w:val="single" w:sz="7" w:space="0" w:color="000000"/>
            </w:tcBorders>
          </w:tcPr>
          <w:p w14:paraId="58993410"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25</w:t>
            </w:r>
          </w:p>
        </w:tc>
        <w:tc>
          <w:tcPr>
            <w:tcW w:w="1448" w:type="dxa"/>
            <w:tcBorders>
              <w:top w:val="single" w:sz="7" w:space="0" w:color="000000"/>
              <w:left w:val="single" w:sz="7" w:space="0" w:color="000000"/>
              <w:bottom w:val="single" w:sz="7" w:space="0" w:color="000000"/>
              <w:right w:val="single" w:sz="7" w:space="0" w:color="000000"/>
            </w:tcBorders>
          </w:tcPr>
          <w:p w14:paraId="086F3962" w14:textId="77777777" w:rsidR="002B0869" w:rsidRPr="00F91796" w:rsidRDefault="002B0869" w:rsidP="00C229F8">
            <w:pPr>
              <w:spacing w:before="22"/>
              <w:ind w:left="580" w:right="581"/>
              <w:jc w:val="center"/>
              <w:rPr>
                <w:rFonts w:ascii="Arial" w:eastAsia="Arial" w:hAnsi="Arial" w:cs="Arial"/>
                <w:sz w:val="18"/>
                <w:szCs w:val="18"/>
              </w:rPr>
            </w:pPr>
            <w:r w:rsidRPr="00F91796">
              <w:rPr>
                <w:rFonts w:ascii="Arial" w:eastAsia="Arial" w:hAnsi="Arial" w:cs="Arial"/>
                <w:sz w:val="18"/>
                <w:szCs w:val="18"/>
              </w:rPr>
              <w:t>4</w:t>
            </w:r>
          </w:p>
        </w:tc>
      </w:tr>
      <w:tr w:rsidR="002B0869" w:rsidRPr="00F91796" w14:paraId="52E9E059"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AC6CA49"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3</w:t>
            </w:r>
            <w:r w:rsidRPr="00F91796">
              <w:rPr>
                <w:rFonts w:ascii="Arial" w:eastAsia="Arial" w:hAnsi="Arial" w:cs="Arial"/>
                <w:spacing w:val="-2"/>
                <w:sz w:val="18"/>
                <w:szCs w:val="18"/>
              </w:rPr>
              <w:t>.</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474B40AA"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2"/>
                <w:sz w:val="18"/>
                <w:szCs w:val="18"/>
              </w:rPr>
              <w:t>e</w:t>
            </w:r>
            <w:r w:rsidRPr="00F91796">
              <w:rPr>
                <w:rFonts w:ascii="Arial" w:eastAsia="Arial" w:hAnsi="Arial" w:cs="Arial"/>
                <w:spacing w:val="1"/>
                <w:sz w:val="18"/>
                <w:szCs w:val="18"/>
              </w:rPr>
              <w:t>ne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mue</w:t>
            </w:r>
            <w:r w:rsidRPr="00F91796">
              <w:rPr>
                <w:rFonts w:ascii="Arial" w:eastAsia="Arial" w:hAnsi="Arial" w:cs="Arial"/>
                <w:spacing w:val="-2"/>
                <w:sz w:val="18"/>
                <w:szCs w:val="18"/>
              </w:rPr>
              <w:t>b</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2CFC940C"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20</w:t>
            </w:r>
          </w:p>
        </w:tc>
        <w:tc>
          <w:tcPr>
            <w:tcW w:w="1448" w:type="dxa"/>
            <w:tcBorders>
              <w:top w:val="single" w:sz="7" w:space="0" w:color="000000"/>
              <w:left w:val="single" w:sz="7" w:space="0" w:color="000000"/>
              <w:bottom w:val="single" w:sz="7" w:space="0" w:color="000000"/>
              <w:right w:val="single" w:sz="7" w:space="0" w:color="000000"/>
            </w:tcBorders>
          </w:tcPr>
          <w:p w14:paraId="70C8657A" w14:textId="77777777" w:rsidR="002B0869" w:rsidRPr="00F91796" w:rsidRDefault="002B0869" w:rsidP="00C229F8">
            <w:pPr>
              <w:spacing w:before="22"/>
              <w:ind w:left="580" w:right="581"/>
              <w:jc w:val="center"/>
              <w:rPr>
                <w:rFonts w:ascii="Arial" w:eastAsia="Arial" w:hAnsi="Arial" w:cs="Arial"/>
                <w:sz w:val="18"/>
                <w:szCs w:val="18"/>
              </w:rPr>
            </w:pPr>
            <w:r w:rsidRPr="00F91796">
              <w:rPr>
                <w:rFonts w:ascii="Arial" w:eastAsia="Arial" w:hAnsi="Arial" w:cs="Arial"/>
                <w:sz w:val="18"/>
                <w:szCs w:val="18"/>
              </w:rPr>
              <w:t>5</w:t>
            </w:r>
          </w:p>
        </w:tc>
      </w:tr>
      <w:tr w:rsidR="002B0869" w:rsidRPr="00F91796" w14:paraId="395349B2" w14:textId="77777777" w:rsidTr="00C229F8">
        <w:trPr>
          <w:trHeight w:hRule="exact" w:val="358"/>
        </w:trPr>
        <w:tc>
          <w:tcPr>
            <w:tcW w:w="8912" w:type="dxa"/>
            <w:gridSpan w:val="10"/>
            <w:tcBorders>
              <w:top w:val="single" w:sz="7" w:space="0" w:color="000000"/>
              <w:left w:val="single" w:sz="7" w:space="0" w:color="000000"/>
              <w:bottom w:val="single" w:sz="7" w:space="0" w:color="000000"/>
              <w:right w:val="single" w:sz="7" w:space="0" w:color="000000"/>
            </w:tcBorders>
          </w:tcPr>
          <w:p w14:paraId="715086E1" w14:textId="77777777" w:rsidR="002B0869" w:rsidRPr="00F91796" w:rsidRDefault="002B0869" w:rsidP="00C229F8"/>
        </w:tc>
      </w:tr>
      <w:tr w:rsidR="002B0869" w:rsidRPr="00F91796" w14:paraId="6F4038A5"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4B3EF121"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48B5530F"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z w:val="18"/>
                <w:szCs w:val="18"/>
              </w:rPr>
              <w:t xml:space="preserve">BIENES </w:t>
            </w:r>
            <w:r w:rsidRPr="00F91796">
              <w:rPr>
                <w:rFonts w:ascii="Arial" w:eastAsia="Arial" w:hAnsi="Arial" w:cs="Arial"/>
                <w:b/>
                <w:spacing w:val="1"/>
                <w:sz w:val="18"/>
                <w:szCs w:val="18"/>
              </w:rPr>
              <w:t>M</w:t>
            </w:r>
            <w:r w:rsidRPr="00F91796">
              <w:rPr>
                <w:rFonts w:ascii="Arial" w:eastAsia="Arial" w:hAnsi="Arial" w:cs="Arial"/>
                <w:b/>
                <w:sz w:val="18"/>
                <w:szCs w:val="18"/>
              </w:rPr>
              <w:t>UEBLES</w:t>
            </w:r>
          </w:p>
        </w:tc>
      </w:tr>
      <w:tr w:rsidR="002B0869" w:rsidRPr="00F91796" w14:paraId="2E9B290F"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0DC9F5C0"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17E57821"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d</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pacing w:val="-2"/>
                <w:sz w:val="18"/>
                <w:szCs w:val="18"/>
              </w:rPr>
              <w:t>A</w:t>
            </w:r>
            <w:r w:rsidRPr="00F91796">
              <w:rPr>
                <w:rFonts w:ascii="Arial" w:eastAsia="Arial" w:hAnsi="Arial" w:cs="Arial"/>
                <w:b/>
                <w:sz w:val="18"/>
                <w:szCs w:val="18"/>
              </w:rPr>
              <w:t>d</w:t>
            </w:r>
            <w:r w:rsidRPr="00F91796">
              <w:rPr>
                <w:rFonts w:ascii="Arial" w:eastAsia="Arial" w:hAnsi="Arial" w:cs="Arial"/>
                <w:b/>
                <w:spacing w:val="1"/>
                <w:sz w:val="18"/>
                <w:szCs w:val="18"/>
              </w:rPr>
              <w:t>m</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is</w:t>
            </w:r>
            <w:r w:rsidRPr="00F91796">
              <w:rPr>
                <w:rFonts w:ascii="Arial" w:eastAsia="Arial" w:hAnsi="Arial" w:cs="Arial"/>
                <w:b/>
                <w:sz w:val="18"/>
                <w:szCs w:val="18"/>
              </w:rPr>
              <w:t>tra</w:t>
            </w:r>
            <w:r w:rsidRPr="00F91796">
              <w:rPr>
                <w:rFonts w:ascii="Arial" w:eastAsia="Arial" w:hAnsi="Arial" w:cs="Arial"/>
                <w:b/>
                <w:spacing w:val="1"/>
                <w:sz w:val="18"/>
                <w:szCs w:val="18"/>
              </w:rPr>
              <w:t>c</w:t>
            </w:r>
            <w:r w:rsidRPr="00F91796">
              <w:rPr>
                <w:rFonts w:ascii="Arial" w:eastAsia="Arial" w:hAnsi="Arial" w:cs="Arial"/>
                <w:b/>
                <w:sz w:val="18"/>
                <w:szCs w:val="18"/>
              </w:rPr>
              <w:t>i</w:t>
            </w:r>
            <w:r w:rsidRPr="00F91796">
              <w:rPr>
                <w:rFonts w:ascii="Arial" w:eastAsia="Arial" w:hAnsi="Arial" w:cs="Arial"/>
                <w:b/>
                <w:spacing w:val="-2"/>
                <w:sz w:val="18"/>
                <w:szCs w:val="18"/>
              </w:rPr>
              <w:t>ó</w:t>
            </w:r>
            <w:r w:rsidRPr="00F91796">
              <w:rPr>
                <w:rFonts w:ascii="Arial" w:eastAsia="Arial" w:hAnsi="Arial" w:cs="Arial"/>
                <w:b/>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593E585D" w14:textId="77777777" w:rsidR="002B0869" w:rsidRPr="00F91796" w:rsidRDefault="002B0869" w:rsidP="00C229F8"/>
        </w:tc>
        <w:tc>
          <w:tcPr>
            <w:tcW w:w="1448" w:type="dxa"/>
            <w:tcBorders>
              <w:top w:val="single" w:sz="7" w:space="0" w:color="000000"/>
              <w:left w:val="single" w:sz="7" w:space="0" w:color="000000"/>
              <w:bottom w:val="single" w:sz="7" w:space="0" w:color="000000"/>
              <w:right w:val="single" w:sz="7" w:space="0" w:color="000000"/>
            </w:tcBorders>
          </w:tcPr>
          <w:p w14:paraId="47D0C179" w14:textId="77777777" w:rsidR="002B0869" w:rsidRPr="00F91796" w:rsidRDefault="002B0869" w:rsidP="00C229F8"/>
        </w:tc>
      </w:tr>
      <w:tr w:rsidR="002B0869" w:rsidRPr="00F91796" w14:paraId="6E7E708F"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182DFB8"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4CD6351"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w:t>
            </w:r>
            <w:r w:rsidRPr="00F91796">
              <w:rPr>
                <w:rFonts w:ascii="Arial" w:eastAsia="Arial" w:hAnsi="Arial" w:cs="Arial"/>
                <w:sz w:val="18"/>
                <w:szCs w:val="18"/>
              </w:rPr>
              <w:t>s</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O</w:t>
            </w:r>
            <w:r w:rsidRPr="00F91796">
              <w:rPr>
                <w:rFonts w:ascii="Arial" w:eastAsia="Arial" w:hAnsi="Arial" w:cs="Arial"/>
                <w:spacing w:val="-3"/>
                <w:sz w:val="18"/>
                <w:szCs w:val="18"/>
              </w:rPr>
              <w:t>f</w:t>
            </w:r>
            <w:r w:rsidRPr="00F91796">
              <w:rPr>
                <w:rFonts w:ascii="Arial" w:eastAsia="Arial" w:hAnsi="Arial" w:cs="Arial"/>
                <w:spacing w:val="1"/>
                <w:sz w:val="18"/>
                <w:szCs w:val="18"/>
              </w:rPr>
              <w:t>ic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rí</w:t>
            </w:r>
            <w:r w:rsidRPr="00F91796">
              <w:rPr>
                <w:rFonts w:ascii="Arial" w:eastAsia="Arial" w:hAnsi="Arial" w:cs="Arial"/>
                <w:sz w:val="18"/>
                <w:szCs w:val="18"/>
              </w:rPr>
              <w:t>a</w:t>
            </w:r>
          </w:p>
        </w:tc>
        <w:tc>
          <w:tcPr>
            <w:tcW w:w="868" w:type="dxa"/>
            <w:gridSpan w:val="3"/>
            <w:tcBorders>
              <w:top w:val="single" w:sz="7" w:space="0" w:color="000000"/>
              <w:left w:val="single" w:sz="7" w:space="0" w:color="000000"/>
              <w:bottom w:val="single" w:sz="7" w:space="0" w:color="000000"/>
              <w:right w:val="single" w:sz="7" w:space="0" w:color="000000"/>
            </w:tcBorders>
          </w:tcPr>
          <w:p w14:paraId="36681396"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51C43051" w14:textId="77777777" w:rsidR="002B0869" w:rsidRPr="00F91796" w:rsidRDefault="002B0869" w:rsidP="00C229F8">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01092D40" w14:textId="77777777" w:rsidTr="00C229F8">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03B115B0"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3B99BE9B"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uebles</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4"/>
                <w:sz w:val="18"/>
                <w:szCs w:val="18"/>
              </w:rPr>
              <w:t>x</w:t>
            </w:r>
            <w:r w:rsidRPr="00F91796">
              <w:rPr>
                <w:rFonts w:ascii="Arial" w:eastAsia="Arial" w:hAnsi="Arial" w:cs="Arial"/>
                <w:spacing w:val="1"/>
                <w:sz w:val="18"/>
                <w:szCs w:val="18"/>
              </w:rPr>
              <w:t>cep</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De</w:t>
            </w:r>
            <w:r w:rsidRPr="00F91796">
              <w:rPr>
                <w:rFonts w:ascii="Arial" w:eastAsia="Arial" w:hAnsi="Arial" w:cs="Arial"/>
                <w:spacing w:val="1"/>
                <w:sz w:val="18"/>
                <w:szCs w:val="18"/>
              </w:rPr>
              <w:t xml:space="preserve"> </w:t>
            </w:r>
            <w:r w:rsidRPr="00F91796">
              <w:rPr>
                <w:rFonts w:ascii="Arial" w:eastAsia="Arial" w:hAnsi="Arial" w:cs="Arial"/>
                <w:sz w:val="18"/>
                <w:szCs w:val="18"/>
              </w:rPr>
              <w:t>Of</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n</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2"/>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s</w:t>
            </w:r>
            <w:r w:rsidRPr="00F91796">
              <w:rPr>
                <w:rFonts w:ascii="Arial" w:eastAsia="Arial" w:hAnsi="Arial" w:cs="Arial"/>
                <w:sz w:val="18"/>
                <w:szCs w:val="18"/>
              </w:rPr>
              <w:t>t</w:t>
            </w:r>
            <w:r w:rsidRPr="00F91796">
              <w:rPr>
                <w:rFonts w:ascii="Arial" w:eastAsia="Arial" w:hAnsi="Arial" w:cs="Arial"/>
                <w:spacing w:val="1"/>
                <w:sz w:val="18"/>
                <w:szCs w:val="18"/>
              </w:rPr>
              <w:t>an</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ría</w:t>
            </w:r>
          </w:p>
        </w:tc>
        <w:tc>
          <w:tcPr>
            <w:tcW w:w="868" w:type="dxa"/>
            <w:gridSpan w:val="3"/>
            <w:tcBorders>
              <w:top w:val="single" w:sz="7" w:space="0" w:color="000000"/>
              <w:left w:val="single" w:sz="7" w:space="0" w:color="000000"/>
              <w:bottom w:val="single" w:sz="7" w:space="0" w:color="000000"/>
              <w:right w:val="single" w:sz="7" w:space="0" w:color="000000"/>
            </w:tcBorders>
          </w:tcPr>
          <w:p w14:paraId="14320698"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5E33B73B" w14:textId="77777777" w:rsidR="002B0869" w:rsidRPr="00F91796" w:rsidRDefault="002B0869" w:rsidP="00C229F8">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023DC8AF"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819A96B"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6B855E6A"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ó</w:t>
            </w:r>
            <w:r w:rsidRPr="00F91796">
              <w:rPr>
                <w:rFonts w:ascii="Arial" w:eastAsia="Arial" w:hAnsi="Arial" w:cs="Arial"/>
                <w:spacing w:val="1"/>
                <w:sz w:val="18"/>
                <w:szCs w:val="18"/>
              </w:rPr>
              <w:t>m</w:t>
            </w:r>
            <w:r w:rsidRPr="00F91796">
              <w:rPr>
                <w:rFonts w:ascii="Arial" w:eastAsia="Arial" w:hAnsi="Arial" w:cs="Arial"/>
                <w:spacing w:val="-2"/>
                <w:sz w:val="18"/>
                <w:szCs w:val="18"/>
              </w:rPr>
              <w:t>p</w:t>
            </w:r>
            <w:r w:rsidRPr="00F91796">
              <w:rPr>
                <w:rFonts w:ascii="Arial" w:eastAsia="Arial" w:hAnsi="Arial" w:cs="Arial"/>
                <w:spacing w:val="1"/>
                <w:sz w:val="18"/>
                <w:szCs w:val="18"/>
              </w:rPr>
              <w:t>u</w:t>
            </w:r>
            <w:r w:rsidRPr="00F91796">
              <w:rPr>
                <w:rFonts w:ascii="Arial" w:eastAsia="Arial" w:hAnsi="Arial" w:cs="Arial"/>
                <w:sz w:val="18"/>
                <w:szCs w:val="18"/>
              </w:rPr>
              <w:t>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ec</w:t>
            </w:r>
            <w:r w:rsidRPr="00F91796">
              <w:rPr>
                <w:rFonts w:ascii="Arial" w:eastAsia="Arial" w:hAnsi="Arial" w:cs="Arial"/>
                <w:spacing w:val="-2"/>
                <w:sz w:val="18"/>
                <w:szCs w:val="18"/>
              </w:rPr>
              <w:t>n</w:t>
            </w:r>
            <w:r w:rsidRPr="00F91796">
              <w:rPr>
                <w:rFonts w:ascii="Arial" w:eastAsia="Arial" w:hAnsi="Arial" w:cs="Arial"/>
                <w:spacing w:val="1"/>
                <w:sz w:val="18"/>
                <w:szCs w:val="18"/>
              </w:rPr>
              <w:t>olog</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z w:val="18"/>
                <w:szCs w:val="18"/>
              </w:rPr>
              <w:t>a</w:t>
            </w:r>
            <w:r w:rsidRPr="00F91796">
              <w:rPr>
                <w:rFonts w:ascii="Arial" w:eastAsia="Arial" w:hAnsi="Arial" w:cs="Arial"/>
                <w:spacing w:val="1"/>
                <w:sz w:val="18"/>
                <w:szCs w:val="18"/>
              </w:rPr>
              <w:t xml:space="preserve"> In</w:t>
            </w:r>
            <w:r w:rsidRPr="00F91796">
              <w:rPr>
                <w:rFonts w:ascii="Arial" w:eastAsia="Arial" w:hAnsi="Arial" w:cs="Arial"/>
                <w:spacing w:val="-2"/>
                <w:sz w:val="18"/>
                <w:szCs w:val="18"/>
              </w:rPr>
              <w:t>f</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m</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7683E710"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3D445A02" w14:textId="77777777" w:rsidR="002B0869" w:rsidRPr="00F91796" w:rsidRDefault="002B0869" w:rsidP="00C229F8">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2B0869" w:rsidRPr="00F91796" w14:paraId="28F78383"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7489FC4"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1</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5825F2E7"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w:t>
            </w:r>
            <w:r w:rsidRPr="00F91796">
              <w:rPr>
                <w:rFonts w:ascii="Arial" w:eastAsia="Arial" w:hAnsi="Arial" w:cs="Arial"/>
                <w:spacing w:val="2"/>
                <w:sz w:val="18"/>
                <w:szCs w:val="18"/>
              </w:rPr>
              <w:t>a</w:t>
            </w:r>
            <w:r w:rsidRPr="00F91796">
              <w:rPr>
                <w:rFonts w:ascii="Arial" w:eastAsia="Arial" w:hAnsi="Arial" w:cs="Arial"/>
                <w:spacing w:val="-2"/>
                <w:sz w:val="18"/>
                <w:szCs w:val="18"/>
              </w:rPr>
              <w:t>r</w:t>
            </w:r>
            <w:r w:rsidRPr="00F91796">
              <w:rPr>
                <w:rFonts w:ascii="Arial" w:eastAsia="Arial" w:hAnsi="Arial" w:cs="Arial"/>
                <w:spacing w:val="1"/>
                <w:sz w:val="18"/>
                <w:szCs w:val="18"/>
              </w:rPr>
              <w:t>io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dm</w:t>
            </w:r>
            <w:r w:rsidRPr="00F91796">
              <w:rPr>
                <w:rFonts w:ascii="Arial" w:eastAsia="Arial" w:hAnsi="Arial" w:cs="Arial"/>
                <w:spacing w:val="-2"/>
                <w:sz w:val="18"/>
                <w:szCs w:val="18"/>
              </w:rPr>
              <w:t>i</w:t>
            </w:r>
            <w:r w:rsidRPr="00F91796">
              <w:rPr>
                <w:rFonts w:ascii="Arial" w:eastAsia="Arial" w:hAnsi="Arial" w:cs="Arial"/>
                <w:spacing w:val="1"/>
                <w:sz w:val="18"/>
                <w:szCs w:val="18"/>
              </w:rPr>
              <w:t>ni</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68" w:type="dxa"/>
            <w:gridSpan w:val="3"/>
            <w:tcBorders>
              <w:top w:val="single" w:sz="7" w:space="0" w:color="000000"/>
              <w:left w:val="single" w:sz="7" w:space="0" w:color="000000"/>
              <w:bottom w:val="single" w:sz="7" w:space="0" w:color="000000"/>
              <w:right w:val="single" w:sz="7" w:space="0" w:color="000000"/>
            </w:tcBorders>
          </w:tcPr>
          <w:p w14:paraId="42E46A73" w14:textId="77777777" w:rsidR="002B0869" w:rsidRPr="00F91796" w:rsidRDefault="002B0869" w:rsidP="00C229F8">
            <w:pPr>
              <w:spacing w:before="22"/>
              <w:ind w:left="268" w:right="300"/>
              <w:jc w:val="center"/>
              <w:rPr>
                <w:rFonts w:ascii="Arial" w:eastAsia="Arial" w:hAnsi="Arial" w:cs="Arial"/>
                <w:sz w:val="18"/>
                <w:szCs w:val="18"/>
              </w:rPr>
            </w:pPr>
            <w:r w:rsidRPr="00F91796">
              <w:rPr>
                <w:rFonts w:ascii="Arial" w:eastAsia="Arial" w:hAnsi="Arial" w:cs="Arial"/>
                <w:spacing w:val="1"/>
                <w:sz w:val="18"/>
                <w:szCs w:val="18"/>
              </w:rPr>
              <w:t>10</w:t>
            </w:r>
          </w:p>
        </w:tc>
        <w:tc>
          <w:tcPr>
            <w:tcW w:w="1448" w:type="dxa"/>
            <w:tcBorders>
              <w:top w:val="single" w:sz="7" w:space="0" w:color="000000"/>
              <w:left w:val="single" w:sz="7" w:space="0" w:color="000000"/>
              <w:bottom w:val="single" w:sz="7" w:space="0" w:color="000000"/>
              <w:right w:val="single" w:sz="7" w:space="0" w:color="000000"/>
            </w:tcBorders>
          </w:tcPr>
          <w:p w14:paraId="4FD49225" w14:textId="77777777" w:rsidR="002B0869" w:rsidRPr="00F91796" w:rsidRDefault="002B0869" w:rsidP="00C229F8">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46F16B66"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3A7D0BE9" w14:textId="77777777" w:rsidR="002B0869" w:rsidRPr="00F91796" w:rsidRDefault="002B0869" w:rsidP="00C229F8">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6A3EC2E2" w14:textId="77777777" w:rsidR="002B0869" w:rsidRPr="00F91796" w:rsidRDefault="002B0869" w:rsidP="00C229F8">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04C73EC2" w14:textId="77777777" w:rsidR="002B0869" w:rsidRPr="00F91796" w:rsidRDefault="002B0869" w:rsidP="00C229F8">
            <w:pPr>
              <w:spacing w:before="22"/>
              <w:ind w:left="268" w:right="300"/>
              <w:jc w:val="center"/>
              <w:rPr>
                <w:rFonts w:ascii="Arial" w:eastAsia="Arial" w:hAnsi="Arial" w:cs="Arial"/>
                <w:spacing w:val="1"/>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6ABF461B" w14:textId="77777777" w:rsidR="002B0869" w:rsidRPr="00F91796" w:rsidRDefault="002B0869" w:rsidP="00C229F8">
            <w:pPr>
              <w:spacing w:before="22"/>
              <w:ind w:left="530" w:right="530"/>
              <w:jc w:val="center"/>
              <w:rPr>
                <w:rFonts w:ascii="Arial" w:eastAsia="Arial" w:hAnsi="Arial" w:cs="Arial"/>
                <w:spacing w:val="1"/>
                <w:sz w:val="18"/>
                <w:szCs w:val="18"/>
              </w:rPr>
            </w:pPr>
          </w:p>
        </w:tc>
      </w:tr>
      <w:tr w:rsidR="002B0869" w:rsidRPr="00F91796" w14:paraId="118EDE1F"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6B20FFB"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2</w:t>
            </w:r>
          </w:p>
        </w:tc>
        <w:tc>
          <w:tcPr>
            <w:tcW w:w="7930" w:type="dxa"/>
            <w:gridSpan w:val="8"/>
            <w:tcBorders>
              <w:top w:val="nil"/>
              <w:left w:val="single" w:sz="7" w:space="0" w:color="000000"/>
              <w:bottom w:val="nil"/>
              <w:right w:val="single" w:sz="7" w:space="0" w:color="000000"/>
            </w:tcBorders>
          </w:tcPr>
          <w:p w14:paraId="681BE78C" w14:textId="77777777" w:rsidR="002B0869" w:rsidRPr="00F91796" w:rsidRDefault="002B0869" w:rsidP="00C229F8">
            <w:pPr>
              <w:spacing w:before="30"/>
              <w:ind w:left="64"/>
              <w:rPr>
                <w:rFonts w:ascii="Arial" w:eastAsia="Arial" w:hAnsi="Arial" w:cs="Arial"/>
                <w:sz w:val="18"/>
                <w:szCs w:val="18"/>
              </w:rPr>
            </w:pPr>
            <w:r w:rsidRPr="00F91796">
              <w:rPr>
                <w:rFonts w:ascii="Arial" w:eastAsia="Arial" w:hAnsi="Arial" w:cs="Arial"/>
                <w:b/>
                <w:spacing w:val="1"/>
                <w:sz w:val="18"/>
                <w:szCs w:val="18"/>
              </w:rPr>
              <w:t>M</w:t>
            </w:r>
            <w:r w:rsidRPr="00F91796">
              <w:rPr>
                <w:rFonts w:ascii="Arial" w:eastAsia="Arial" w:hAnsi="Arial" w:cs="Arial"/>
                <w:b/>
                <w:sz w:val="18"/>
                <w:szCs w:val="18"/>
              </w:rPr>
              <w:t>o</w:t>
            </w:r>
            <w:r w:rsidRPr="00F91796">
              <w:rPr>
                <w:rFonts w:ascii="Arial" w:eastAsia="Arial" w:hAnsi="Arial" w:cs="Arial"/>
                <w:b/>
                <w:spacing w:val="1"/>
                <w:sz w:val="18"/>
                <w:szCs w:val="18"/>
              </w:rPr>
              <w:t>b</w:t>
            </w:r>
            <w:r w:rsidRPr="00F91796">
              <w:rPr>
                <w:rFonts w:ascii="Arial" w:eastAsia="Arial" w:hAnsi="Arial" w:cs="Arial"/>
                <w:b/>
                <w:sz w:val="18"/>
                <w:szCs w:val="18"/>
              </w:rPr>
              <w:t>i</w:t>
            </w:r>
            <w:r w:rsidRPr="00F91796">
              <w:rPr>
                <w:rFonts w:ascii="Arial" w:eastAsia="Arial" w:hAnsi="Arial" w:cs="Arial"/>
                <w:b/>
                <w:spacing w:val="1"/>
                <w:sz w:val="18"/>
                <w:szCs w:val="18"/>
              </w:rPr>
              <w:t>l</w:t>
            </w:r>
            <w:r w:rsidRPr="00F91796">
              <w:rPr>
                <w:rFonts w:ascii="Arial" w:eastAsia="Arial" w:hAnsi="Arial" w:cs="Arial"/>
                <w:b/>
                <w:spacing w:val="-2"/>
                <w:sz w:val="18"/>
                <w:szCs w:val="18"/>
              </w:rPr>
              <w:t>i</w:t>
            </w:r>
            <w:r w:rsidRPr="00F91796">
              <w:rPr>
                <w:rFonts w:ascii="Arial" w:eastAsia="Arial" w:hAnsi="Arial" w:cs="Arial"/>
                <w:b/>
                <w:spacing w:val="1"/>
                <w:sz w:val="18"/>
                <w:szCs w:val="18"/>
              </w:rPr>
              <w:t>a</w:t>
            </w:r>
            <w:r w:rsidRPr="00F91796">
              <w:rPr>
                <w:rFonts w:ascii="Arial" w:eastAsia="Arial" w:hAnsi="Arial" w:cs="Arial"/>
                <w:b/>
                <w:sz w:val="18"/>
                <w:szCs w:val="18"/>
              </w:rPr>
              <w:t>rio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d</w:t>
            </w:r>
            <w:r w:rsidRPr="00F91796">
              <w:rPr>
                <w:rFonts w:ascii="Arial" w:eastAsia="Arial" w:hAnsi="Arial" w:cs="Arial"/>
                <w:b/>
                <w:sz w:val="18"/>
                <w:szCs w:val="18"/>
              </w:rPr>
              <w:t>u</w:t>
            </w:r>
            <w:r w:rsidRPr="00F91796">
              <w:rPr>
                <w:rFonts w:ascii="Arial" w:eastAsia="Arial" w:hAnsi="Arial" w:cs="Arial"/>
                <w:b/>
                <w:spacing w:val="1"/>
                <w:sz w:val="18"/>
                <w:szCs w:val="18"/>
              </w:rPr>
              <w:t>c</w:t>
            </w:r>
            <w:r w:rsidRPr="00F91796">
              <w:rPr>
                <w:rFonts w:ascii="Arial" w:eastAsia="Arial" w:hAnsi="Arial" w:cs="Arial"/>
                <w:b/>
                <w:spacing w:val="-2"/>
                <w:sz w:val="18"/>
                <w:szCs w:val="18"/>
              </w:rPr>
              <w:t>a</w:t>
            </w:r>
            <w:r w:rsidRPr="00F91796">
              <w:rPr>
                <w:rFonts w:ascii="Arial" w:eastAsia="Arial" w:hAnsi="Arial" w:cs="Arial"/>
                <w:b/>
                <w:spacing w:val="1"/>
                <w:sz w:val="18"/>
                <w:szCs w:val="18"/>
              </w:rPr>
              <w:t>c</w:t>
            </w:r>
            <w:r w:rsidRPr="00F91796">
              <w:rPr>
                <w:rFonts w:ascii="Arial" w:eastAsia="Arial" w:hAnsi="Arial" w:cs="Arial"/>
                <w:b/>
                <w:spacing w:val="-2"/>
                <w:sz w:val="18"/>
                <w:szCs w:val="18"/>
              </w:rPr>
              <w:t>i</w:t>
            </w:r>
            <w:r w:rsidRPr="00F91796">
              <w:rPr>
                <w:rFonts w:ascii="Arial" w:eastAsia="Arial" w:hAnsi="Arial" w:cs="Arial"/>
                <w:b/>
                <w:sz w:val="18"/>
                <w:szCs w:val="18"/>
              </w:rPr>
              <w:t>o</w:t>
            </w:r>
            <w:r w:rsidRPr="00F91796">
              <w:rPr>
                <w:rFonts w:ascii="Arial" w:eastAsia="Arial" w:hAnsi="Arial" w:cs="Arial"/>
                <w:b/>
                <w:spacing w:val="1"/>
                <w:sz w:val="18"/>
                <w:szCs w:val="18"/>
              </w:rPr>
              <w:t>na</w:t>
            </w:r>
            <w:r w:rsidRPr="00F91796">
              <w:rPr>
                <w:rFonts w:ascii="Arial" w:eastAsia="Arial" w:hAnsi="Arial" w:cs="Arial"/>
                <w:b/>
                <w:sz w:val="18"/>
                <w:szCs w:val="18"/>
              </w:rPr>
              <w:t>l</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z w:val="18"/>
                <w:szCs w:val="18"/>
              </w:rPr>
              <w:t>R</w:t>
            </w:r>
            <w:r w:rsidRPr="00F91796">
              <w:rPr>
                <w:rFonts w:ascii="Arial" w:eastAsia="Arial" w:hAnsi="Arial" w:cs="Arial"/>
                <w:b/>
                <w:spacing w:val="1"/>
                <w:sz w:val="18"/>
                <w:szCs w:val="18"/>
              </w:rPr>
              <w:t>ec</w:t>
            </w:r>
            <w:r w:rsidRPr="00F91796">
              <w:rPr>
                <w:rFonts w:ascii="Arial" w:eastAsia="Arial" w:hAnsi="Arial" w:cs="Arial"/>
                <w:b/>
                <w:sz w:val="18"/>
                <w:szCs w:val="18"/>
              </w:rPr>
              <w:t>re</w:t>
            </w:r>
            <w:r w:rsidRPr="00F91796">
              <w:rPr>
                <w:rFonts w:ascii="Arial" w:eastAsia="Arial" w:hAnsi="Arial" w:cs="Arial"/>
                <w:b/>
                <w:spacing w:val="1"/>
                <w:sz w:val="18"/>
                <w:szCs w:val="18"/>
              </w:rPr>
              <w:t>a</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w:t>
            </w:r>
          </w:p>
        </w:tc>
      </w:tr>
      <w:tr w:rsidR="002B0869" w:rsidRPr="00F91796" w14:paraId="0428BD7B"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0EC1332"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6BA92706"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pacing w:val="-2"/>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pacing w:val="-2"/>
                <w:sz w:val="18"/>
                <w:szCs w:val="18"/>
              </w:rPr>
              <w:t>d</w:t>
            </w:r>
            <w:r w:rsidRPr="00F91796">
              <w:rPr>
                <w:rFonts w:ascii="Arial" w:eastAsia="Arial" w:hAnsi="Arial" w:cs="Arial"/>
                <w:spacing w:val="1"/>
                <w:sz w:val="18"/>
                <w:szCs w:val="18"/>
              </w:rPr>
              <w:t>io</w:t>
            </w:r>
            <w:r w:rsidRPr="00F91796">
              <w:rPr>
                <w:rFonts w:ascii="Arial" w:eastAsia="Arial" w:hAnsi="Arial" w:cs="Arial"/>
                <w:spacing w:val="-1"/>
                <w:sz w:val="18"/>
                <w:szCs w:val="18"/>
              </w:rPr>
              <w:t>v</w:t>
            </w:r>
            <w:r w:rsidRPr="00F91796">
              <w:rPr>
                <w:rFonts w:ascii="Arial" w:eastAsia="Arial" w:hAnsi="Arial" w:cs="Arial"/>
                <w:spacing w:val="1"/>
                <w:sz w:val="18"/>
                <w:szCs w:val="18"/>
              </w:rPr>
              <w:t>is</w:t>
            </w:r>
            <w:r w:rsidRPr="00F91796">
              <w:rPr>
                <w:rFonts w:ascii="Arial" w:eastAsia="Arial" w:hAnsi="Arial" w:cs="Arial"/>
                <w:spacing w:val="-2"/>
                <w:sz w:val="18"/>
                <w:szCs w:val="18"/>
              </w:rPr>
              <w:t>u</w:t>
            </w:r>
            <w:r w:rsidRPr="00F91796">
              <w:rPr>
                <w:rFonts w:ascii="Arial" w:eastAsia="Arial" w:hAnsi="Arial" w:cs="Arial"/>
                <w:spacing w:val="1"/>
                <w:sz w:val="18"/>
                <w:szCs w:val="18"/>
              </w:rPr>
              <w:t>ale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534B046B"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7FF564CB" w14:textId="77777777" w:rsidR="002B0869" w:rsidRPr="00F91796" w:rsidRDefault="002B0869" w:rsidP="00C229F8">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2B0869" w:rsidRPr="00F91796" w14:paraId="064C0BAB"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29F9C35E" w14:textId="77777777" w:rsidR="002B0869" w:rsidRPr="00F91796" w:rsidRDefault="002B0869" w:rsidP="00C229F8">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6DC8C304" w14:textId="77777777" w:rsidR="002B0869" w:rsidRPr="00F91796" w:rsidRDefault="002B0869" w:rsidP="00C229F8">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pa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D</w:t>
            </w:r>
            <w:r w:rsidRPr="00F91796">
              <w:rPr>
                <w:rFonts w:ascii="Arial" w:eastAsia="Arial" w:hAnsi="Arial" w:cs="Arial"/>
                <w:spacing w:val="1"/>
                <w:sz w:val="18"/>
                <w:szCs w:val="18"/>
              </w:rPr>
              <w:t>e</w:t>
            </w:r>
            <w:r w:rsidRPr="00F91796">
              <w:rPr>
                <w:rFonts w:ascii="Arial" w:eastAsia="Arial" w:hAnsi="Arial" w:cs="Arial"/>
                <w:spacing w:val="-2"/>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49EE5070" w14:textId="77777777" w:rsidR="002B0869" w:rsidRPr="00F91796" w:rsidRDefault="002B0869" w:rsidP="00C229F8">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5690A663" w14:textId="77777777" w:rsidR="002B0869" w:rsidRPr="00F91796" w:rsidRDefault="002B0869" w:rsidP="00C229F8">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22066E48"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2E686195"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.3</w:t>
            </w:r>
          </w:p>
        </w:tc>
        <w:tc>
          <w:tcPr>
            <w:tcW w:w="5614" w:type="dxa"/>
            <w:gridSpan w:val="4"/>
            <w:tcBorders>
              <w:top w:val="single" w:sz="7" w:space="0" w:color="000000"/>
              <w:left w:val="single" w:sz="7" w:space="0" w:color="000000"/>
              <w:bottom w:val="single" w:sz="7" w:space="0" w:color="000000"/>
              <w:right w:val="single" w:sz="7" w:space="0" w:color="000000"/>
            </w:tcBorders>
          </w:tcPr>
          <w:p w14:paraId="75746F63"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Cá</w:t>
            </w:r>
            <w:r w:rsidRPr="00F91796">
              <w:rPr>
                <w:rFonts w:ascii="Arial" w:eastAsia="Arial" w:hAnsi="Arial" w:cs="Arial"/>
                <w:spacing w:val="1"/>
                <w:sz w:val="18"/>
                <w:szCs w:val="18"/>
              </w:rPr>
              <w:t>ma</w:t>
            </w:r>
            <w:r w:rsidRPr="00F91796">
              <w:rPr>
                <w:rFonts w:ascii="Arial" w:eastAsia="Arial" w:hAnsi="Arial" w:cs="Arial"/>
                <w:sz w:val="18"/>
                <w:szCs w:val="18"/>
              </w:rPr>
              <w:t>r</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F</w:t>
            </w:r>
            <w:r w:rsidRPr="00F91796">
              <w:rPr>
                <w:rFonts w:ascii="Arial" w:eastAsia="Arial" w:hAnsi="Arial" w:cs="Arial"/>
                <w:spacing w:val="-2"/>
                <w:sz w:val="18"/>
                <w:szCs w:val="18"/>
              </w:rPr>
              <w:t>o</w:t>
            </w:r>
            <w:r w:rsidRPr="00F91796">
              <w:rPr>
                <w:rFonts w:ascii="Arial" w:eastAsia="Arial" w:hAnsi="Arial" w:cs="Arial"/>
                <w:sz w:val="18"/>
                <w:szCs w:val="18"/>
              </w:rPr>
              <w:t>t</w:t>
            </w:r>
            <w:r w:rsidRPr="00F91796">
              <w:rPr>
                <w:rFonts w:ascii="Arial" w:eastAsia="Arial" w:hAnsi="Arial" w:cs="Arial"/>
                <w:spacing w:val="1"/>
                <w:sz w:val="18"/>
                <w:szCs w:val="18"/>
              </w:rPr>
              <w:t>og</w:t>
            </w:r>
            <w:r w:rsidRPr="00F91796">
              <w:rPr>
                <w:rFonts w:ascii="Arial" w:eastAsia="Arial" w:hAnsi="Arial" w:cs="Arial"/>
                <w:sz w:val="18"/>
                <w:szCs w:val="18"/>
              </w:rPr>
              <w:t>r</w:t>
            </w:r>
            <w:r w:rsidRPr="00F91796">
              <w:rPr>
                <w:rFonts w:ascii="Arial" w:eastAsia="Arial" w:hAnsi="Arial" w:cs="Arial"/>
                <w:spacing w:val="-2"/>
                <w:sz w:val="18"/>
                <w:szCs w:val="18"/>
              </w:rPr>
              <w:t>á</w:t>
            </w:r>
            <w:r w:rsidRPr="00F91796">
              <w:rPr>
                <w:rFonts w:ascii="Arial" w:eastAsia="Arial" w:hAnsi="Arial" w:cs="Arial"/>
                <w:sz w:val="18"/>
                <w:szCs w:val="18"/>
              </w:rPr>
              <w:t>f</w:t>
            </w:r>
            <w:r w:rsidRPr="00F91796">
              <w:rPr>
                <w:rFonts w:ascii="Arial" w:eastAsia="Arial" w:hAnsi="Arial" w:cs="Arial"/>
                <w:spacing w:val="1"/>
                <w:sz w:val="18"/>
                <w:szCs w:val="18"/>
              </w:rPr>
              <w:t>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V</w:t>
            </w:r>
            <w:r w:rsidRPr="00F91796">
              <w:rPr>
                <w:rFonts w:ascii="Arial" w:eastAsia="Arial" w:hAnsi="Arial" w:cs="Arial"/>
                <w:spacing w:val="-1"/>
                <w:sz w:val="18"/>
                <w:szCs w:val="18"/>
              </w:rPr>
              <w:t>i</w:t>
            </w:r>
            <w:r w:rsidRPr="00F91796">
              <w:rPr>
                <w:rFonts w:ascii="Arial" w:eastAsia="Arial" w:hAnsi="Arial" w:cs="Arial"/>
                <w:spacing w:val="1"/>
                <w:sz w:val="18"/>
                <w:szCs w:val="18"/>
              </w:rPr>
              <w:t>de</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0EE21624"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3</w:t>
            </w:r>
          </w:p>
        </w:tc>
        <w:tc>
          <w:tcPr>
            <w:tcW w:w="1448" w:type="dxa"/>
            <w:tcBorders>
              <w:top w:val="single" w:sz="7" w:space="0" w:color="000000"/>
              <w:left w:val="single" w:sz="7" w:space="0" w:color="000000"/>
              <w:bottom w:val="single" w:sz="7" w:space="0" w:color="000000"/>
              <w:right w:val="single" w:sz="7" w:space="0" w:color="000000"/>
            </w:tcBorders>
          </w:tcPr>
          <w:p w14:paraId="12780938" w14:textId="77777777" w:rsidR="002B0869" w:rsidRPr="00F91796" w:rsidRDefault="002B0869" w:rsidP="00C229F8">
            <w:pPr>
              <w:spacing w:before="22"/>
              <w:ind w:left="456" w:right="454"/>
              <w:jc w:val="center"/>
              <w:rPr>
                <w:rFonts w:ascii="Arial" w:eastAsia="Arial" w:hAnsi="Arial" w:cs="Arial"/>
                <w:sz w:val="18"/>
                <w:szCs w:val="18"/>
              </w:rPr>
            </w:pPr>
            <w:r w:rsidRPr="00F91796">
              <w:rPr>
                <w:rFonts w:ascii="Arial" w:eastAsia="Arial" w:hAnsi="Arial" w:cs="Arial"/>
                <w:spacing w:val="1"/>
                <w:sz w:val="18"/>
                <w:szCs w:val="18"/>
              </w:rPr>
              <w:t>33</w:t>
            </w:r>
            <w:r w:rsidRPr="00F91796">
              <w:rPr>
                <w:rFonts w:ascii="Arial" w:eastAsia="Arial" w:hAnsi="Arial" w:cs="Arial"/>
                <w:sz w:val="18"/>
                <w:szCs w:val="18"/>
              </w:rPr>
              <w:t>.3</w:t>
            </w:r>
          </w:p>
        </w:tc>
      </w:tr>
      <w:tr w:rsidR="002B0869" w:rsidRPr="00F91796" w14:paraId="33C8B446"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BC177D3"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.9</w:t>
            </w:r>
          </w:p>
        </w:tc>
        <w:tc>
          <w:tcPr>
            <w:tcW w:w="5614" w:type="dxa"/>
            <w:gridSpan w:val="4"/>
            <w:tcBorders>
              <w:top w:val="single" w:sz="7" w:space="0" w:color="000000"/>
              <w:left w:val="single" w:sz="7" w:space="0" w:color="000000"/>
              <w:bottom w:val="single" w:sz="7" w:space="0" w:color="000000"/>
              <w:right w:val="single" w:sz="7" w:space="0" w:color="000000"/>
            </w:tcBorders>
          </w:tcPr>
          <w:p w14:paraId="781ED847"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obilia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r w:rsidRPr="00F91796">
              <w:rPr>
                <w:rFonts w:ascii="Arial" w:eastAsia="Arial" w:hAnsi="Arial" w:cs="Arial"/>
                <w:spacing w:val="3"/>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d</w:t>
            </w:r>
            <w:r w:rsidRPr="00F91796">
              <w:rPr>
                <w:rFonts w:ascii="Arial" w:eastAsia="Arial" w:hAnsi="Arial" w:cs="Arial"/>
                <w:spacing w:val="-2"/>
                <w:sz w:val="18"/>
                <w:szCs w:val="18"/>
              </w:rPr>
              <w:t>u</w:t>
            </w:r>
            <w:r w:rsidRPr="00F91796">
              <w:rPr>
                <w:rFonts w:ascii="Arial" w:eastAsia="Arial" w:hAnsi="Arial" w:cs="Arial"/>
                <w:spacing w:val="-1"/>
                <w:sz w:val="18"/>
                <w:szCs w:val="18"/>
              </w:rPr>
              <w:t>c</w:t>
            </w:r>
            <w:r w:rsidRPr="00F91796">
              <w:rPr>
                <w:rFonts w:ascii="Arial" w:eastAsia="Arial" w:hAnsi="Arial" w:cs="Arial"/>
                <w:spacing w:val="1"/>
                <w:sz w:val="18"/>
                <w:szCs w:val="18"/>
              </w:rPr>
              <w:t>aci</w:t>
            </w:r>
            <w:r w:rsidRPr="00F91796">
              <w:rPr>
                <w:rFonts w:ascii="Arial" w:eastAsia="Arial" w:hAnsi="Arial" w:cs="Arial"/>
                <w:spacing w:val="-2"/>
                <w:sz w:val="18"/>
                <w:szCs w:val="18"/>
              </w:rPr>
              <w:t>o</w:t>
            </w:r>
            <w:r w:rsidRPr="00F91796">
              <w:rPr>
                <w:rFonts w:ascii="Arial" w:eastAsia="Arial" w:hAnsi="Arial" w:cs="Arial"/>
                <w:spacing w:val="1"/>
                <w:sz w:val="18"/>
                <w:szCs w:val="18"/>
              </w:rPr>
              <w:t>na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z w:val="18"/>
                <w:szCs w:val="18"/>
              </w:rPr>
              <w:t>r</w:t>
            </w:r>
            <w:r w:rsidRPr="00F91796">
              <w:rPr>
                <w:rFonts w:ascii="Arial" w:eastAsia="Arial" w:hAnsi="Arial" w:cs="Arial"/>
                <w:spacing w:val="1"/>
                <w:sz w:val="18"/>
                <w:szCs w:val="18"/>
              </w:rPr>
              <w:t>ea</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525C1B18"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328858F0" w14:textId="77777777" w:rsidR="002B0869" w:rsidRPr="00F91796" w:rsidRDefault="002B0869" w:rsidP="00C229F8">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54FACF66"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5B8A70A" w14:textId="77777777" w:rsidR="002B0869" w:rsidRPr="00F91796" w:rsidRDefault="002B0869" w:rsidP="00C229F8">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07ECFAA9" w14:textId="77777777" w:rsidR="002B0869" w:rsidRPr="00F91796" w:rsidRDefault="002B0869" w:rsidP="00C229F8">
            <w:pPr>
              <w:spacing w:before="22"/>
              <w:ind w:left="64"/>
              <w:rPr>
                <w:rFonts w:ascii="Arial" w:eastAsia="Arial" w:hAnsi="Arial" w:cs="Arial"/>
                <w:spacing w:val="-1"/>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2958D893" w14:textId="77777777" w:rsidR="002B0869" w:rsidRPr="00F91796" w:rsidRDefault="002B0869" w:rsidP="00C229F8">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50793533" w14:textId="77777777" w:rsidR="002B0869" w:rsidRPr="00F91796" w:rsidRDefault="002B0869" w:rsidP="00C229F8">
            <w:pPr>
              <w:spacing w:before="22"/>
              <w:ind w:left="530" w:right="530"/>
              <w:jc w:val="center"/>
              <w:rPr>
                <w:rFonts w:ascii="Arial" w:eastAsia="Arial" w:hAnsi="Arial" w:cs="Arial"/>
                <w:spacing w:val="1"/>
                <w:sz w:val="18"/>
                <w:szCs w:val="18"/>
              </w:rPr>
            </w:pPr>
          </w:p>
        </w:tc>
      </w:tr>
      <w:tr w:rsidR="002B0869" w:rsidRPr="00F91796" w14:paraId="48D973D4"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4F36F25"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3</w:t>
            </w:r>
          </w:p>
        </w:tc>
        <w:tc>
          <w:tcPr>
            <w:tcW w:w="7930" w:type="dxa"/>
            <w:gridSpan w:val="8"/>
            <w:tcBorders>
              <w:top w:val="single" w:sz="7" w:space="0" w:color="000000"/>
              <w:left w:val="single" w:sz="7" w:space="0" w:color="000000"/>
              <w:bottom w:val="nil"/>
              <w:right w:val="single" w:sz="7" w:space="0" w:color="000000"/>
            </w:tcBorders>
          </w:tcPr>
          <w:p w14:paraId="79FBB847"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 xml:space="preserve"> </w:t>
            </w:r>
            <w:r w:rsidRPr="00F91796">
              <w:rPr>
                <w:rFonts w:ascii="Arial" w:eastAsia="Arial" w:hAnsi="Arial" w:cs="Arial"/>
                <w:b/>
                <w:sz w:val="18"/>
                <w:szCs w:val="18"/>
              </w:rPr>
              <w:t>I</w:t>
            </w:r>
            <w:r w:rsidRPr="00F91796">
              <w:rPr>
                <w:rFonts w:ascii="Arial" w:eastAsia="Arial" w:hAnsi="Arial" w:cs="Arial"/>
                <w:b/>
                <w:spacing w:val="1"/>
                <w:sz w:val="18"/>
                <w:szCs w:val="18"/>
              </w:rPr>
              <w:t>ns</w:t>
            </w:r>
            <w:r w:rsidRPr="00F91796">
              <w:rPr>
                <w:rFonts w:ascii="Arial" w:eastAsia="Arial" w:hAnsi="Arial" w:cs="Arial"/>
                <w:b/>
                <w:sz w:val="18"/>
                <w:szCs w:val="18"/>
              </w:rPr>
              <w:t>tru</w:t>
            </w:r>
            <w:r w:rsidRPr="00F91796">
              <w:rPr>
                <w:rFonts w:ascii="Arial" w:eastAsia="Arial" w:hAnsi="Arial" w:cs="Arial"/>
                <w:b/>
                <w:spacing w:val="-2"/>
                <w:sz w:val="18"/>
                <w:szCs w:val="18"/>
              </w:rPr>
              <w:t>m</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l</w:t>
            </w:r>
            <w:r w:rsidRPr="00F91796">
              <w:rPr>
                <w:rFonts w:ascii="Arial" w:eastAsia="Arial" w:hAnsi="Arial" w:cs="Arial"/>
                <w:b/>
                <w:spacing w:val="-2"/>
                <w:sz w:val="18"/>
                <w:szCs w:val="18"/>
              </w:rPr>
              <w:t xml:space="preserve"> </w:t>
            </w:r>
            <w:r w:rsidRPr="00F91796">
              <w:rPr>
                <w:rFonts w:ascii="Arial" w:eastAsia="Arial" w:hAnsi="Arial" w:cs="Arial"/>
                <w:b/>
                <w:spacing w:val="1"/>
                <w:sz w:val="18"/>
                <w:szCs w:val="18"/>
              </w:rPr>
              <w:t>M</w:t>
            </w:r>
            <w:r w:rsidRPr="00F91796">
              <w:rPr>
                <w:rFonts w:ascii="Arial" w:eastAsia="Arial" w:hAnsi="Arial" w:cs="Arial"/>
                <w:b/>
                <w:spacing w:val="-2"/>
                <w:sz w:val="18"/>
                <w:szCs w:val="18"/>
              </w:rPr>
              <w:t>é</w:t>
            </w:r>
            <w:r w:rsidRPr="00F91796">
              <w:rPr>
                <w:rFonts w:ascii="Arial" w:eastAsia="Arial" w:hAnsi="Arial" w:cs="Arial"/>
                <w:b/>
                <w:sz w:val="18"/>
                <w:szCs w:val="18"/>
              </w:rPr>
              <w:t>d</w:t>
            </w:r>
            <w:r w:rsidRPr="00F91796">
              <w:rPr>
                <w:rFonts w:ascii="Arial" w:eastAsia="Arial" w:hAnsi="Arial" w:cs="Arial"/>
                <w:b/>
                <w:spacing w:val="1"/>
                <w:sz w:val="18"/>
                <w:szCs w:val="18"/>
              </w:rPr>
              <w:t>i</w:t>
            </w:r>
            <w:r w:rsidRPr="00F91796">
              <w:rPr>
                <w:rFonts w:ascii="Arial" w:eastAsia="Arial" w:hAnsi="Arial" w:cs="Arial"/>
                <w:b/>
                <w:spacing w:val="-2"/>
                <w:sz w:val="18"/>
                <w:szCs w:val="18"/>
              </w:rPr>
              <w:t>c</w:t>
            </w:r>
            <w:r w:rsidRPr="00F91796">
              <w:rPr>
                <w:rFonts w:ascii="Arial" w:eastAsia="Arial" w:hAnsi="Arial" w:cs="Arial"/>
                <w:b/>
                <w:sz w:val="18"/>
                <w:szCs w:val="18"/>
              </w:rPr>
              <w:t>o</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6"/>
                <w:sz w:val="18"/>
                <w:szCs w:val="18"/>
              </w:rPr>
              <w:t xml:space="preserve"> </w:t>
            </w:r>
            <w:r w:rsidRPr="00F91796">
              <w:rPr>
                <w:rFonts w:ascii="Arial" w:eastAsia="Arial" w:hAnsi="Arial" w:cs="Arial"/>
                <w:b/>
                <w:spacing w:val="1"/>
                <w:sz w:val="18"/>
                <w:szCs w:val="18"/>
              </w:rPr>
              <w:t>d</w:t>
            </w:r>
            <w:r w:rsidRPr="00F91796">
              <w:rPr>
                <w:rFonts w:ascii="Arial" w:eastAsia="Arial" w:hAnsi="Arial" w:cs="Arial"/>
                <w:b/>
                <w:sz w:val="18"/>
                <w:szCs w:val="18"/>
              </w:rPr>
              <w:t>e</w:t>
            </w:r>
            <w:r w:rsidRPr="00F91796">
              <w:rPr>
                <w:rFonts w:ascii="Arial" w:eastAsia="Arial" w:hAnsi="Arial" w:cs="Arial"/>
                <w:b/>
                <w:spacing w:val="1"/>
                <w:sz w:val="18"/>
                <w:szCs w:val="18"/>
              </w:rPr>
              <w:t xml:space="preserve"> La</w:t>
            </w:r>
            <w:r w:rsidRPr="00F91796">
              <w:rPr>
                <w:rFonts w:ascii="Arial" w:eastAsia="Arial" w:hAnsi="Arial" w:cs="Arial"/>
                <w:b/>
                <w:sz w:val="18"/>
                <w:szCs w:val="18"/>
              </w:rPr>
              <w:t>b</w:t>
            </w:r>
            <w:r w:rsidRPr="00F91796">
              <w:rPr>
                <w:rFonts w:ascii="Arial" w:eastAsia="Arial" w:hAnsi="Arial" w:cs="Arial"/>
                <w:b/>
                <w:spacing w:val="1"/>
                <w:sz w:val="18"/>
                <w:szCs w:val="18"/>
              </w:rPr>
              <w:t>o</w:t>
            </w:r>
            <w:r w:rsidRPr="00F91796">
              <w:rPr>
                <w:rFonts w:ascii="Arial" w:eastAsia="Arial" w:hAnsi="Arial" w:cs="Arial"/>
                <w:b/>
                <w:sz w:val="18"/>
                <w:szCs w:val="18"/>
              </w:rPr>
              <w:t>rat</w:t>
            </w:r>
            <w:r w:rsidRPr="00F91796">
              <w:rPr>
                <w:rFonts w:ascii="Arial" w:eastAsia="Arial" w:hAnsi="Arial" w:cs="Arial"/>
                <w:b/>
                <w:spacing w:val="1"/>
                <w:sz w:val="18"/>
                <w:szCs w:val="18"/>
              </w:rPr>
              <w:t>o</w:t>
            </w:r>
            <w:r w:rsidRPr="00F91796">
              <w:rPr>
                <w:rFonts w:ascii="Arial" w:eastAsia="Arial" w:hAnsi="Arial" w:cs="Arial"/>
                <w:b/>
                <w:sz w:val="18"/>
                <w:szCs w:val="18"/>
              </w:rPr>
              <w:t>rio</w:t>
            </w:r>
          </w:p>
        </w:tc>
      </w:tr>
      <w:tr w:rsidR="002B0869" w:rsidRPr="00F91796" w14:paraId="45CC3604" w14:textId="77777777" w:rsidTr="00C229F8">
        <w:trPr>
          <w:trHeight w:hRule="exact" w:val="356"/>
        </w:trPr>
        <w:tc>
          <w:tcPr>
            <w:tcW w:w="982" w:type="dxa"/>
            <w:gridSpan w:val="2"/>
            <w:tcBorders>
              <w:top w:val="single" w:sz="7" w:space="0" w:color="000000"/>
              <w:left w:val="single" w:sz="7" w:space="0" w:color="000000"/>
              <w:bottom w:val="single" w:sz="7" w:space="0" w:color="000000"/>
              <w:right w:val="single" w:sz="7" w:space="0" w:color="000000"/>
            </w:tcBorders>
          </w:tcPr>
          <w:p w14:paraId="593D658E"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236DD4C0"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2"/>
                <w:sz w:val="18"/>
                <w:szCs w:val="18"/>
              </w:rPr>
              <w:t>ri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47878D43"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36431011" w14:textId="77777777" w:rsidR="002B0869" w:rsidRPr="00F91796" w:rsidRDefault="002B0869" w:rsidP="00C229F8">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2DCCE6C9"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46410920" w14:textId="77777777" w:rsidR="002B0869" w:rsidRPr="00F91796" w:rsidRDefault="002B0869" w:rsidP="00C229F8">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3</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4807EA04" w14:textId="77777777" w:rsidR="002B0869" w:rsidRPr="00F91796" w:rsidRDefault="002B0869" w:rsidP="00C229F8">
            <w:pPr>
              <w:spacing w:before="24"/>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ns</w:t>
            </w:r>
            <w:r w:rsidRPr="00F91796">
              <w:rPr>
                <w:rFonts w:ascii="Arial" w:eastAsia="Arial" w:hAnsi="Arial" w:cs="Arial"/>
                <w:sz w:val="18"/>
                <w:szCs w:val="18"/>
              </w:rPr>
              <w:t>tr</w:t>
            </w:r>
            <w:r w:rsidRPr="00F91796">
              <w:rPr>
                <w:rFonts w:ascii="Arial" w:eastAsia="Arial" w:hAnsi="Arial" w:cs="Arial"/>
                <w:spacing w:val="-1"/>
                <w:sz w:val="18"/>
                <w:szCs w:val="18"/>
              </w:rPr>
              <w:t>u</w:t>
            </w:r>
            <w:r w:rsidRPr="00F91796">
              <w:rPr>
                <w:rFonts w:ascii="Arial" w:eastAsia="Arial" w:hAnsi="Arial" w:cs="Arial"/>
                <w:spacing w:val="1"/>
                <w:sz w:val="18"/>
                <w:szCs w:val="18"/>
              </w:rPr>
              <w:t>m</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édi</w:t>
            </w:r>
            <w:r w:rsidRPr="00F91796">
              <w:rPr>
                <w:rFonts w:ascii="Arial" w:eastAsia="Arial" w:hAnsi="Arial" w:cs="Arial"/>
                <w:spacing w:val="-1"/>
                <w:sz w:val="18"/>
                <w:szCs w:val="18"/>
              </w:rPr>
              <w:t>c</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L</w:t>
            </w:r>
            <w:r w:rsidRPr="00F91796">
              <w:rPr>
                <w:rFonts w:ascii="Arial" w:eastAsia="Arial" w:hAnsi="Arial" w:cs="Arial"/>
                <w:spacing w:val="1"/>
                <w:sz w:val="18"/>
                <w:szCs w:val="18"/>
              </w:rPr>
              <w:t>a</w:t>
            </w:r>
            <w:r w:rsidRPr="00F91796">
              <w:rPr>
                <w:rFonts w:ascii="Arial" w:eastAsia="Arial" w:hAnsi="Arial" w:cs="Arial"/>
                <w:spacing w:val="-2"/>
                <w:sz w:val="18"/>
                <w:szCs w:val="18"/>
              </w:rPr>
              <w:t>b</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68" w:type="dxa"/>
            <w:gridSpan w:val="3"/>
            <w:tcBorders>
              <w:top w:val="single" w:sz="7" w:space="0" w:color="000000"/>
              <w:left w:val="single" w:sz="7" w:space="0" w:color="000000"/>
              <w:bottom w:val="single" w:sz="7" w:space="0" w:color="000000"/>
              <w:right w:val="single" w:sz="7" w:space="0" w:color="000000"/>
            </w:tcBorders>
          </w:tcPr>
          <w:p w14:paraId="72A969AD" w14:textId="77777777" w:rsidR="002B0869" w:rsidRPr="00F91796" w:rsidRDefault="002B0869" w:rsidP="00C229F8">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84803F6" w14:textId="77777777" w:rsidR="002B0869" w:rsidRPr="00F91796" w:rsidRDefault="002B0869" w:rsidP="00C229F8">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2CA241A0" w14:textId="77777777" w:rsidTr="00C229F8">
        <w:trPr>
          <w:trHeight w:hRule="exact" w:val="355"/>
        </w:trPr>
        <w:tc>
          <w:tcPr>
            <w:tcW w:w="8912" w:type="dxa"/>
            <w:gridSpan w:val="10"/>
            <w:tcBorders>
              <w:top w:val="single" w:sz="7" w:space="0" w:color="000000"/>
              <w:left w:val="single" w:sz="7" w:space="0" w:color="000000"/>
              <w:bottom w:val="single" w:sz="7" w:space="0" w:color="000000"/>
              <w:right w:val="single" w:sz="7" w:space="0" w:color="000000"/>
            </w:tcBorders>
          </w:tcPr>
          <w:p w14:paraId="28BE6E82" w14:textId="77777777" w:rsidR="002B0869" w:rsidRPr="00F91796" w:rsidRDefault="002B0869" w:rsidP="00C229F8"/>
        </w:tc>
      </w:tr>
      <w:tr w:rsidR="002B0869" w:rsidRPr="00F91796" w14:paraId="0B718163"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67BC6D24"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4</w:t>
            </w:r>
          </w:p>
        </w:tc>
        <w:tc>
          <w:tcPr>
            <w:tcW w:w="7930" w:type="dxa"/>
            <w:gridSpan w:val="8"/>
            <w:tcBorders>
              <w:top w:val="single" w:sz="7" w:space="0" w:color="000000"/>
              <w:left w:val="single" w:sz="7" w:space="0" w:color="000000"/>
              <w:bottom w:val="nil"/>
              <w:right w:val="single" w:sz="7" w:space="0" w:color="000000"/>
            </w:tcBorders>
          </w:tcPr>
          <w:p w14:paraId="42B3EC00"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b/>
                <w:sz w:val="18"/>
                <w:szCs w:val="18"/>
              </w:rPr>
              <w:t>Eq</w:t>
            </w:r>
            <w:r w:rsidRPr="00F91796">
              <w:rPr>
                <w:rFonts w:ascii="Arial" w:eastAsia="Arial" w:hAnsi="Arial" w:cs="Arial"/>
                <w:b/>
                <w:spacing w:val="1"/>
                <w:sz w:val="18"/>
                <w:szCs w:val="18"/>
              </w:rPr>
              <w:t>u</w:t>
            </w:r>
            <w:r w:rsidRPr="00F91796">
              <w:rPr>
                <w:rFonts w:ascii="Arial" w:eastAsia="Arial" w:hAnsi="Arial" w:cs="Arial"/>
                <w:b/>
                <w:sz w:val="18"/>
                <w:szCs w:val="18"/>
              </w:rPr>
              <w:t>i</w:t>
            </w:r>
            <w:r w:rsidRPr="00F91796">
              <w:rPr>
                <w:rFonts w:ascii="Arial" w:eastAsia="Arial" w:hAnsi="Arial" w:cs="Arial"/>
                <w:b/>
                <w:spacing w:val="1"/>
                <w:sz w:val="18"/>
                <w:szCs w:val="18"/>
              </w:rPr>
              <w:t>p</w:t>
            </w:r>
            <w:r w:rsidRPr="00F91796">
              <w:rPr>
                <w:rFonts w:ascii="Arial" w:eastAsia="Arial" w:hAnsi="Arial" w:cs="Arial"/>
                <w:b/>
                <w:sz w:val="18"/>
                <w:szCs w:val="18"/>
              </w:rPr>
              <w:t>o</w:t>
            </w:r>
            <w:r w:rsidRPr="00F91796">
              <w:rPr>
                <w:rFonts w:ascii="Arial" w:eastAsia="Arial" w:hAnsi="Arial" w:cs="Arial"/>
                <w:b/>
                <w:spacing w:val="1"/>
                <w:sz w:val="18"/>
                <w:szCs w:val="18"/>
              </w:rPr>
              <w:t xml:space="preserve"> </w:t>
            </w:r>
            <w:r w:rsidRPr="00F91796">
              <w:rPr>
                <w:rFonts w:ascii="Arial" w:eastAsia="Arial" w:hAnsi="Arial" w:cs="Arial"/>
                <w:b/>
                <w:sz w:val="18"/>
                <w:szCs w:val="18"/>
              </w:rPr>
              <w:t>de</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T</w:t>
            </w:r>
            <w:r w:rsidRPr="00F91796">
              <w:rPr>
                <w:rFonts w:ascii="Arial" w:eastAsia="Arial" w:hAnsi="Arial" w:cs="Arial"/>
                <w:b/>
                <w:sz w:val="18"/>
                <w:szCs w:val="18"/>
              </w:rPr>
              <w:t>ra</w:t>
            </w:r>
            <w:r w:rsidRPr="00F91796">
              <w:rPr>
                <w:rFonts w:ascii="Arial" w:eastAsia="Arial" w:hAnsi="Arial" w:cs="Arial"/>
                <w:b/>
                <w:spacing w:val="1"/>
                <w:sz w:val="18"/>
                <w:szCs w:val="18"/>
              </w:rPr>
              <w:t>n</w:t>
            </w:r>
            <w:r w:rsidRPr="00F91796">
              <w:rPr>
                <w:rFonts w:ascii="Arial" w:eastAsia="Arial" w:hAnsi="Arial" w:cs="Arial"/>
                <w:b/>
                <w:spacing w:val="-2"/>
                <w:sz w:val="18"/>
                <w:szCs w:val="18"/>
              </w:rPr>
              <w:t>s</w:t>
            </w:r>
            <w:r w:rsidRPr="00F91796">
              <w:rPr>
                <w:rFonts w:ascii="Arial" w:eastAsia="Arial" w:hAnsi="Arial" w:cs="Arial"/>
                <w:b/>
                <w:sz w:val="18"/>
                <w:szCs w:val="18"/>
              </w:rPr>
              <w:t>p</w:t>
            </w:r>
            <w:r w:rsidRPr="00F91796">
              <w:rPr>
                <w:rFonts w:ascii="Arial" w:eastAsia="Arial" w:hAnsi="Arial" w:cs="Arial"/>
                <w:b/>
                <w:spacing w:val="1"/>
                <w:sz w:val="18"/>
                <w:szCs w:val="18"/>
              </w:rPr>
              <w:t>o</w:t>
            </w:r>
            <w:r w:rsidRPr="00F91796">
              <w:rPr>
                <w:rFonts w:ascii="Arial" w:eastAsia="Arial" w:hAnsi="Arial" w:cs="Arial"/>
                <w:b/>
                <w:sz w:val="18"/>
                <w:szCs w:val="18"/>
              </w:rPr>
              <w:t>rte</w:t>
            </w:r>
          </w:p>
        </w:tc>
      </w:tr>
      <w:tr w:rsidR="002B0869" w:rsidRPr="00F91796" w14:paraId="19A23798" w14:textId="77777777" w:rsidTr="00C229F8">
        <w:trPr>
          <w:trHeight w:hRule="exact" w:val="358"/>
        </w:trPr>
        <w:tc>
          <w:tcPr>
            <w:tcW w:w="982" w:type="dxa"/>
            <w:gridSpan w:val="2"/>
            <w:tcBorders>
              <w:top w:val="single" w:sz="7" w:space="0" w:color="000000"/>
              <w:left w:val="single" w:sz="7" w:space="0" w:color="000000"/>
              <w:bottom w:val="single" w:sz="7" w:space="0" w:color="000000"/>
              <w:right w:val="single" w:sz="7" w:space="0" w:color="000000"/>
            </w:tcBorders>
          </w:tcPr>
          <w:p w14:paraId="1C7D6E16" w14:textId="77777777" w:rsidR="002B0869" w:rsidRPr="00F91796" w:rsidRDefault="002B0869" w:rsidP="00C229F8">
            <w:pPr>
              <w:spacing w:before="24"/>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.1</w:t>
            </w:r>
          </w:p>
        </w:tc>
        <w:tc>
          <w:tcPr>
            <w:tcW w:w="5614" w:type="dxa"/>
            <w:gridSpan w:val="4"/>
            <w:tcBorders>
              <w:top w:val="single" w:sz="7" w:space="0" w:color="000000"/>
              <w:left w:val="single" w:sz="7" w:space="0" w:color="000000"/>
              <w:bottom w:val="single" w:sz="7" w:space="0" w:color="000000"/>
              <w:right w:val="single" w:sz="7" w:space="0" w:color="000000"/>
            </w:tcBorders>
          </w:tcPr>
          <w:p w14:paraId="12F50189" w14:textId="77777777" w:rsidR="002B0869" w:rsidRPr="00F91796" w:rsidRDefault="002B0869" w:rsidP="00C229F8">
            <w:pPr>
              <w:spacing w:before="24"/>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u</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pacing w:val="-1"/>
                <w:sz w:val="18"/>
                <w:szCs w:val="18"/>
              </w:rPr>
              <w:t>m</w:t>
            </w:r>
            <w:r w:rsidRPr="00F91796">
              <w:rPr>
                <w:rFonts w:ascii="Arial" w:eastAsia="Arial" w:hAnsi="Arial" w:cs="Arial"/>
                <w:spacing w:val="1"/>
                <w:sz w:val="18"/>
                <w:szCs w:val="18"/>
              </w:rPr>
              <w:t>ó</w:t>
            </w:r>
            <w:r w:rsidRPr="00F91796">
              <w:rPr>
                <w:rFonts w:ascii="Arial" w:eastAsia="Arial" w:hAnsi="Arial" w:cs="Arial"/>
                <w:spacing w:val="-1"/>
                <w:sz w:val="18"/>
                <w:szCs w:val="18"/>
              </w:rPr>
              <w:t>v</w:t>
            </w:r>
            <w:r w:rsidRPr="00F91796">
              <w:rPr>
                <w:rFonts w:ascii="Arial" w:eastAsia="Arial" w:hAnsi="Arial" w:cs="Arial"/>
                <w:spacing w:val="1"/>
                <w:sz w:val="18"/>
                <w:szCs w:val="18"/>
              </w:rPr>
              <w:t>ile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3"/>
                <w:sz w:val="18"/>
                <w:szCs w:val="18"/>
              </w:rPr>
              <w:t>q</w:t>
            </w:r>
            <w:r w:rsidRPr="00F91796">
              <w:rPr>
                <w:rFonts w:ascii="Arial" w:eastAsia="Arial" w:hAnsi="Arial" w:cs="Arial"/>
                <w:spacing w:val="1"/>
                <w:sz w:val="18"/>
                <w:szCs w:val="18"/>
              </w:rPr>
              <w:t>ui</w:t>
            </w:r>
            <w:r w:rsidRPr="00F91796">
              <w:rPr>
                <w:rFonts w:ascii="Arial" w:eastAsia="Arial" w:hAnsi="Arial" w:cs="Arial"/>
                <w:spacing w:val="-2"/>
                <w:sz w:val="18"/>
                <w:szCs w:val="18"/>
              </w:rPr>
              <w:t>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z w:val="18"/>
                <w:szCs w:val="18"/>
              </w:rPr>
              <w:t>rr</w:t>
            </w:r>
            <w:r w:rsidRPr="00F91796">
              <w:rPr>
                <w:rFonts w:ascii="Arial" w:eastAsia="Arial" w:hAnsi="Arial" w:cs="Arial"/>
                <w:spacing w:val="1"/>
                <w:sz w:val="18"/>
                <w:szCs w:val="18"/>
              </w:rPr>
              <w:t>es</w:t>
            </w:r>
            <w:r w:rsidRPr="00F91796">
              <w:rPr>
                <w:rFonts w:ascii="Arial" w:eastAsia="Arial" w:hAnsi="Arial" w:cs="Arial"/>
                <w:sz w:val="18"/>
                <w:szCs w:val="18"/>
              </w:rPr>
              <w:t>t</w:t>
            </w:r>
            <w:r w:rsidRPr="00F91796">
              <w:rPr>
                <w:rFonts w:ascii="Arial" w:eastAsia="Arial" w:hAnsi="Arial" w:cs="Arial"/>
                <w:spacing w:val="-2"/>
                <w:sz w:val="18"/>
                <w:szCs w:val="18"/>
              </w:rPr>
              <w:t>r</w:t>
            </w:r>
            <w:r w:rsidRPr="00F91796">
              <w:rPr>
                <w:rFonts w:ascii="Arial" w:eastAsia="Arial" w:hAnsi="Arial" w:cs="Arial"/>
                <w:sz w:val="18"/>
                <w:szCs w:val="18"/>
              </w:rPr>
              <w:t>e</w:t>
            </w:r>
          </w:p>
        </w:tc>
        <w:tc>
          <w:tcPr>
            <w:tcW w:w="868" w:type="dxa"/>
            <w:gridSpan w:val="3"/>
            <w:tcBorders>
              <w:top w:val="single" w:sz="7" w:space="0" w:color="000000"/>
              <w:left w:val="single" w:sz="7" w:space="0" w:color="000000"/>
              <w:bottom w:val="single" w:sz="7" w:space="0" w:color="000000"/>
              <w:right w:val="single" w:sz="7" w:space="0" w:color="000000"/>
            </w:tcBorders>
          </w:tcPr>
          <w:p w14:paraId="5C489971" w14:textId="77777777" w:rsidR="002B0869" w:rsidRPr="00F91796" w:rsidRDefault="002B0869" w:rsidP="00C229F8">
            <w:pPr>
              <w:spacing w:before="24"/>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833787D" w14:textId="77777777" w:rsidR="002B0869" w:rsidRPr="00F91796" w:rsidRDefault="002B0869" w:rsidP="00C229F8">
            <w:pPr>
              <w:spacing w:before="24"/>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28A1543C"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7F3B7012"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4</w:t>
            </w:r>
            <w:r w:rsidRPr="00F91796">
              <w:rPr>
                <w:rFonts w:ascii="Arial" w:eastAsia="Arial" w:hAnsi="Arial" w:cs="Arial"/>
                <w:sz w:val="18"/>
                <w:szCs w:val="18"/>
              </w:rPr>
              <w:t>.2</w:t>
            </w:r>
          </w:p>
        </w:tc>
        <w:tc>
          <w:tcPr>
            <w:tcW w:w="5614" w:type="dxa"/>
            <w:gridSpan w:val="4"/>
            <w:tcBorders>
              <w:top w:val="single" w:sz="7" w:space="0" w:color="000000"/>
              <w:left w:val="single" w:sz="7" w:space="0" w:color="000000"/>
              <w:bottom w:val="single" w:sz="7" w:space="0" w:color="000000"/>
              <w:right w:val="single" w:sz="7" w:space="0" w:color="000000"/>
            </w:tcBorders>
          </w:tcPr>
          <w:p w14:paraId="2647690A"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Carr</w:t>
            </w:r>
            <w:r w:rsidRPr="00F91796">
              <w:rPr>
                <w:rFonts w:ascii="Arial" w:eastAsia="Arial" w:hAnsi="Arial" w:cs="Arial"/>
                <w:spacing w:val="1"/>
                <w:sz w:val="18"/>
                <w:szCs w:val="18"/>
              </w:rPr>
              <w:t>oce</w:t>
            </w:r>
            <w:r w:rsidRPr="00F91796">
              <w:rPr>
                <w:rFonts w:ascii="Arial" w:eastAsia="Arial" w:hAnsi="Arial" w:cs="Arial"/>
                <w:sz w:val="18"/>
                <w:szCs w:val="18"/>
              </w:rPr>
              <w:t>r</w:t>
            </w:r>
            <w:r w:rsidRPr="00F91796">
              <w:rPr>
                <w:rFonts w:ascii="Arial" w:eastAsia="Arial" w:hAnsi="Arial" w:cs="Arial"/>
                <w:spacing w:val="-2"/>
                <w:sz w:val="18"/>
                <w:szCs w:val="18"/>
              </w:rPr>
              <w:t>í</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R</w:t>
            </w:r>
            <w:r w:rsidRPr="00F91796">
              <w:rPr>
                <w:rFonts w:ascii="Arial" w:eastAsia="Arial" w:hAnsi="Arial" w:cs="Arial"/>
                <w:spacing w:val="-2"/>
                <w:sz w:val="18"/>
                <w:szCs w:val="18"/>
              </w:rPr>
              <w:t>e</w:t>
            </w:r>
            <w:r w:rsidRPr="00F91796">
              <w:rPr>
                <w:rFonts w:ascii="Arial" w:eastAsia="Arial" w:hAnsi="Arial" w:cs="Arial"/>
                <w:spacing w:val="1"/>
                <w:sz w:val="18"/>
                <w:szCs w:val="18"/>
              </w:rPr>
              <w:t>mo</w:t>
            </w:r>
            <w:r w:rsidRPr="00F91796">
              <w:rPr>
                <w:rFonts w:ascii="Arial" w:eastAsia="Arial" w:hAnsi="Arial" w:cs="Arial"/>
                <w:spacing w:val="-2"/>
                <w:sz w:val="18"/>
                <w:szCs w:val="18"/>
              </w:rPr>
              <w:t>l</w:t>
            </w:r>
            <w:r w:rsidRPr="00F91796">
              <w:rPr>
                <w:rFonts w:ascii="Arial" w:eastAsia="Arial" w:hAnsi="Arial" w:cs="Arial"/>
                <w:spacing w:val="1"/>
                <w:sz w:val="18"/>
                <w:szCs w:val="18"/>
              </w:rPr>
              <w:t>qu</w:t>
            </w:r>
            <w:r w:rsidRPr="00F91796">
              <w:rPr>
                <w:rFonts w:ascii="Arial" w:eastAsia="Arial" w:hAnsi="Arial" w:cs="Arial"/>
                <w:spacing w:val="-2"/>
                <w:sz w:val="18"/>
                <w:szCs w:val="18"/>
              </w:rPr>
              <w:t>e</w:t>
            </w:r>
            <w:r w:rsidRPr="00F91796">
              <w:rPr>
                <w:rFonts w:ascii="Arial" w:eastAsia="Arial" w:hAnsi="Arial" w:cs="Arial"/>
                <w:sz w:val="18"/>
                <w:szCs w:val="18"/>
              </w:rPr>
              <w:t>s</w:t>
            </w:r>
          </w:p>
        </w:tc>
        <w:tc>
          <w:tcPr>
            <w:tcW w:w="868" w:type="dxa"/>
            <w:gridSpan w:val="3"/>
            <w:tcBorders>
              <w:top w:val="single" w:sz="7" w:space="0" w:color="000000"/>
              <w:left w:val="single" w:sz="7" w:space="0" w:color="000000"/>
              <w:bottom w:val="single" w:sz="7" w:space="0" w:color="000000"/>
              <w:right w:val="single" w:sz="7" w:space="0" w:color="000000"/>
            </w:tcBorders>
          </w:tcPr>
          <w:p w14:paraId="1C9559E9"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28A6F8BE" w14:textId="77777777" w:rsidR="002B0869" w:rsidRPr="00F91796" w:rsidRDefault="002B0869" w:rsidP="00C229F8">
            <w:pPr>
              <w:spacing w:before="2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5BD941DB"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0295903" w14:textId="77777777" w:rsidR="002B0869" w:rsidRPr="00F91796" w:rsidRDefault="002B0869" w:rsidP="00C229F8">
            <w:pPr>
              <w:spacing w:before="22"/>
              <w:ind w:left="64"/>
              <w:rPr>
                <w:rFonts w:ascii="Arial" w:eastAsia="Arial" w:hAnsi="Arial" w:cs="Arial"/>
                <w:spacing w:val="1"/>
                <w:sz w:val="18"/>
                <w:szCs w:val="18"/>
              </w:rPr>
            </w:pPr>
            <w:r w:rsidRPr="00F91796">
              <w:rPr>
                <w:rFonts w:ascii="Arial" w:eastAsia="Arial" w:hAnsi="Arial" w:cs="Arial"/>
                <w:spacing w:val="1"/>
                <w:sz w:val="18"/>
                <w:szCs w:val="18"/>
              </w:rPr>
              <w:t>1.2.4.4.3</w:t>
            </w:r>
          </w:p>
        </w:tc>
        <w:tc>
          <w:tcPr>
            <w:tcW w:w="5614" w:type="dxa"/>
            <w:gridSpan w:val="4"/>
            <w:tcBorders>
              <w:top w:val="single" w:sz="7" w:space="0" w:color="000000"/>
              <w:left w:val="single" w:sz="7" w:space="0" w:color="000000"/>
              <w:bottom w:val="single" w:sz="7" w:space="0" w:color="000000"/>
              <w:right w:val="single" w:sz="7" w:space="0" w:color="000000"/>
            </w:tcBorders>
          </w:tcPr>
          <w:p w14:paraId="5D48B269"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Equipo Aeroespacial</w:t>
            </w:r>
          </w:p>
        </w:tc>
        <w:tc>
          <w:tcPr>
            <w:tcW w:w="868" w:type="dxa"/>
            <w:gridSpan w:val="3"/>
            <w:tcBorders>
              <w:top w:val="single" w:sz="7" w:space="0" w:color="000000"/>
              <w:left w:val="single" w:sz="7" w:space="0" w:color="000000"/>
              <w:bottom w:val="single" w:sz="7" w:space="0" w:color="000000"/>
              <w:right w:val="single" w:sz="7" w:space="0" w:color="000000"/>
            </w:tcBorders>
          </w:tcPr>
          <w:p w14:paraId="48F15CAE"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E7D66AF" w14:textId="77777777" w:rsidR="002B0869" w:rsidRPr="00F91796" w:rsidRDefault="002B0869" w:rsidP="00C229F8">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2B0869" w:rsidRPr="00F91796" w14:paraId="6EECE6A0"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8C0592F" w14:textId="77777777" w:rsidR="002B0869" w:rsidRPr="00F91796" w:rsidRDefault="002B0869" w:rsidP="00C229F8">
            <w:pPr>
              <w:spacing w:before="22"/>
              <w:ind w:left="64"/>
              <w:rPr>
                <w:rFonts w:ascii="Arial" w:eastAsia="Arial" w:hAnsi="Arial" w:cs="Arial"/>
                <w:spacing w:val="1"/>
                <w:sz w:val="18"/>
                <w:szCs w:val="18"/>
              </w:rPr>
            </w:pPr>
            <w:r w:rsidRPr="00F91796">
              <w:rPr>
                <w:rFonts w:ascii="Arial" w:eastAsia="Arial" w:hAnsi="Arial" w:cs="Arial"/>
                <w:spacing w:val="1"/>
                <w:sz w:val="18"/>
                <w:szCs w:val="18"/>
              </w:rPr>
              <w:t>1.2.4.4.4</w:t>
            </w:r>
          </w:p>
        </w:tc>
        <w:tc>
          <w:tcPr>
            <w:tcW w:w="5614" w:type="dxa"/>
            <w:gridSpan w:val="4"/>
            <w:tcBorders>
              <w:top w:val="single" w:sz="7" w:space="0" w:color="000000"/>
              <w:left w:val="single" w:sz="7" w:space="0" w:color="000000"/>
              <w:bottom w:val="single" w:sz="7" w:space="0" w:color="000000"/>
              <w:right w:val="single" w:sz="7" w:space="0" w:color="000000"/>
            </w:tcBorders>
          </w:tcPr>
          <w:p w14:paraId="462A25C2"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Equipo Ferroviario</w:t>
            </w:r>
          </w:p>
        </w:tc>
        <w:tc>
          <w:tcPr>
            <w:tcW w:w="868" w:type="dxa"/>
            <w:gridSpan w:val="3"/>
            <w:tcBorders>
              <w:top w:val="single" w:sz="7" w:space="0" w:color="000000"/>
              <w:left w:val="single" w:sz="7" w:space="0" w:color="000000"/>
              <w:bottom w:val="single" w:sz="7" w:space="0" w:color="000000"/>
              <w:right w:val="single" w:sz="7" w:space="0" w:color="000000"/>
            </w:tcBorders>
          </w:tcPr>
          <w:p w14:paraId="59F75A78"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1568304" w14:textId="77777777" w:rsidR="002B0869" w:rsidRPr="00F91796" w:rsidRDefault="002B0869" w:rsidP="00C229F8">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2B0869" w:rsidRPr="00F91796" w14:paraId="0A1B6834"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11586E7B" w14:textId="77777777" w:rsidR="002B0869" w:rsidRPr="00F91796" w:rsidRDefault="002B0869" w:rsidP="00C229F8">
            <w:pPr>
              <w:spacing w:before="22"/>
              <w:ind w:left="64"/>
              <w:rPr>
                <w:rFonts w:ascii="Arial" w:eastAsia="Arial" w:hAnsi="Arial" w:cs="Arial"/>
                <w:spacing w:val="1"/>
                <w:sz w:val="18"/>
                <w:szCs w:val="18"/>
              </w:rPr>
            </w:pPr>
            <w:r w:rsidRPr="00F91796">
              <w:rPr>
                <w:rFonts w:ascii="Arial" w:eastAsia="Arial" w:hAnsi="Arial" w:cs="Arial"/>
                <w:spacing w:val="1"/>
                <w:sz w:val="18"/>
                <w:szCs w:val="18"/>
              </w:rPr>
              <w:t>1.2.4.4.5</w:t>
            </w:r>
          </w:p>
        </w:tc>
        <w:tc>
          <w:tcPr>
            <w:tcW w:w="5614" w:type="dxa"/>
            <w:gridSpan w:val="4"/>
            <w:tcBorders>
              <w:top w:val="single" w:sz="7" w:space="0" w:color="000000"/>
              <w:left w:val="single" w:sz="7" w:space="0" w:color="000000"/>
              <w:bottom w:val="single" w:sz="7" w:space="0" w:color="000000"/>
              <w:right w:val="single" w:sz="7" w:space="0" w:color="000000"/>
            </w:tcBorders>
          </w:tcPr>
          <w:p w14:paraId="08932859"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Embarcaciones</w:t>
            </w:r>
          </w:p>
        </w:tc>
        <w:tc>
          <w:tcPr>
            <w:tcW w:w="868" w:type="dxa"/>
            <w:gridSpan w:val="3"/>
            <w:tcBorders>
              <w:top w:val="single" w:sz="7" w:space="0" w:color="000000"/>
              <w:left w:val="single" w:sz="7" w:space="0" w:color="000000"/>
              <w:bottom w:val="single" w:sz="7" w:space="0" w:color="000000"/>
              <w:right w:val="single" w:sz="7" w:space="0" w:color="000000"/>
            </w:tcBorders>
          </w:tcPr>
          <w:p w14:paraId="107F92A3"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09292274" w14:textId="77777777" w:rsidR="002B0869" w:rsidRPr="00F91796" w:rsidRDefault="002B0869" w:rsidP="00C229F8">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2B0869" w:rsidRPr="00F91796" w14:paraId="5A92728A"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58793EDF" w14:textId="77777777" w:rsidR="002B0869" w:rsidRPr="00F91796" w:rsidRDefault="002B0869" w:rsidP="00C229F8">
            <w:pPr>
              <w:spacing w:before="22"/>
              <w:ind w:left="64"/>
              <w:rPr>
                <w:rFonts w:ascii="Arial" w:eastAsia="Arial" w:hAnsi="Arial" w:cs="Arial"/>
                <w:spacing w:val="1"/>
                <w:sz w:val="18"/>
                <w:szCs w:val="18"/>
              </w:rPr>
            </w:pPr>
            <w:r w:rsidRPr="00F91796">
              <w:rPr>
                <w:rFonts w:ascii="Arial" w:eastAsia="Arial" w:hAnsi="Arial" w:cs="Arial"/>
                <w:spacing w:val="1"/>
                <w:sz w:val="18"/>
                <w:szCs w:val="18"/>
              </w:rPr>
              <w:t>1.2.4.4.9</w:t>
            </w:r>
          </w:p>
        </w:tc>
        <w:tc>
          <w:tcPr>
            <w:tcW w:w="5614" w:type="dxa"/>
            <w:gridSpan w:val="4"/>
            <w:tcBorders>
              <w:top w:val="single" w:sz="7" w:space="0" w:color="000000"/>
              <w:left w:val="single" w:sz="7" w:space="0" w:color="000000"/>
              <w:bottom w:val="single" w:sz="7" w:space="0" w:color="000000"/>
              <w:right w:val="single" w:sz="7" w:space="0" w:color="000000"/>
            </w:tcBorders>
          </w:tcPr>
          <w:p w14:paraId="3E6DE2C1" w14:textId="77777777" w:rsidR="002B0869" w:rsidRPr="00F91796" w:rsidRDefault="002B0869" w:rsidP="00C229F8">
            <w:pPr>
              <w:spacing w:before="22"/>
              <w:ind w:left="64"/>
              <w:rPr>
                <w:rFonts w:ascii="Arial" w:eastAsia="Arial" w:hAnsi="Arial" w:cs="Arial"/>
                <w:sz w:val="18"/>
                <w:szCs w:val="18"/>
              </w:rPr>
            </w:pPr>
            <w:r w:rsidRPr="00F91796">
              <w:rPr>
                <w:rFonts w:ascii="Arial" w:eastAsia="Arial" w:hAnsi="Arial" w:cs="Arial"/>
                <w:sz w:val="18"/>
                <w:szCs w:val="18"/>
              </w:rPr>
              <w:t>Otros Equipos de Transporte</w:t>
            </w:r>
          </w:p>
        </w:tc>
        <w:tc>
          <w:tcPr>
            <w:tcW w:w="868" w:type="dxa"/>
            <w:gridSpan w:val="3"/>
            <w:tcBorders>
              <w:top w:val="single" w:sz="7" w:space="0" w:color="000000"/>
              <w:left w:val="single" w:sz="7" w:space="0" w:color="000000"/>
              <w:bottom w:val="single" w:sz="7" w:space="0" w:color="000000"/>
              <w:right w:val="single" w:sz="7" w:space="0" w:color="000000"/>
            </w:tcBorders>
          </w:tcPr>
          <w:p w14:paraId="18A0D59D" w14:textId="77777777" w:rsidR="002B0869" w:rsidRPr="00F91796" w:rsidRDefault="002B0869" w:rsidP="00C229F8">
            <w:pPr>
              <w:spacing w:before="22"/>
              <w:ind w:left="318" w:right="351"/>
              <w:jc w:val="center"/>
              <w:rPr>
                <w:rFonts w:ascii="Arial" w:eastAsia="Arial" w:hAnsi="Arial" w:cs="Arial"/>
                <w:sz w:val="18"/>
                <w:szCs w:val="18"/>
              </w:rPr>
            </w:pPr>
            <w:r w:rsidRPr="00F91796">
              <w:rPr>
                <w:rFonts w:ascii="Arial" w:eastAsia="Arial" w:hAnsi="Arial" w:cs="Arial"/>
                <w:sz w:val="18"/>
                <w:szCs w:val="18"/>
              </w:rPr>
              <w:t>5</w:t>
            </w:r>
          </w:p>
        </w:tc>
        <w:tc>
          <w:tcPr>
            <w:tcW w:w="1448" w:type="dxa"/>
            <w:tcBorders>
              <w:top w:val="single" w:sz="7" w:space="0" w:color="000000"/>
              <w:left w:val="single" w:sz="7" w:space="0" w:color="000000"/>
              <w:bottom w:val="single" w:sz="7" w:space="0" w:color="000000"/>
              <w:right w:val="single" w:sz="7" w:space="0" w:color="000000"/>
            </w:tcBorders>
          </w:tcPr>
          <w:p w14:paraId="6D2FB728" w14:textId="77777777" w:rsidR="002B0869" w:rsidRPr="00F91796" w:rsidRDefault="002B0869" w:rsidP="00C229F8">
            <w:pPr>
              <w:spacing w:before="22"/>
              <w:ind w:left="530" w:right="530"/>
              <w:jc w:val="center"/>
              <w:rPr>
                <w:rFonts w:ascii="Arial" w:eastAsia="Arial" w:hAnsi="Arial" w:cs="Arial"/>
                <w:spacing w:val="1"/>
                <w:sz w:val="18"/>
                <w:szCs w:val="18"/>
              </w:rPr>
            </w:pPr>
            <w:r w:rsidRPr="00F91796">
              <w:rPr>
                <w:rFonts w:ascii="Arial" w:eastAsia="Arial" w:hAnsi="Arial" w:cs="Arial"/>
                <w:spacing w:val="1"/>
                <w:sz w:val="18"/>
                <w:szCs w:val="18"/>
              </w:rPr>
              <w:t>20</w:t>
            </w:r>
          </w:p>
        </w:tc>
      </w:tr>
      <w:tr w:rsidR="002B0869" w:rsidRPr="00F91796" w14:paraId="226C7868"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F40FF76" w14:textId="77777777" w:rsidR="002B0869" w:rsidRPr="00F91796" w:rsidRDefault="002B0869" w:rsidP="00C229F8">
            <w:pPr>
              <w:spacing w:before="22"/>
              <w:ind w:left="64"/>
              <w:rPr>
                <w:rFonts w:ascii="Arial" w:eastAsia="Arial" w:hAnsi="Arial" w:cs="Arial"/>
                <w:spacing w:val="1"/>
                <w:sz w:val="18"/>
                <w:szCs w:val="18"/>
              </w:rPr>
            </w:pPr>
          </w:p>
        </w:tc>
        <w:tc>
          <w:tcPr>
            <w:tcW w:w="5614" w:type="dxa"/>
            <w:gridSpan w:val="4"/>
            <w:tcBorders>
              <w:top w:val="single" w:sz="7" w:space="0" w:color="000000"/>
              <w:left w:val="single" w:sz="7" w:space="0" w:color="000000"/>
              <w:bottom w:val="single" w:sz="7" w:space="0" w:color="000000"/>
              <w:right w:val="single" w:sz="7" w:space="0" w:color="000000"/>
            </w:tcBorders>
          </w:tcPr>
          <w:p w14:paraId="3B9517DA" w14:textId="77777777" w:rsidR="002B0869" w:rsidRPr="00F91796" w:rsidRDefault="002B0869" w:rsidP="00C229F8">
            <w:pPr>
              <w:spacing w:before="22"/>
              <w:ind w:left="64"/>
              <w:rPr>
                <w:rFonts w:ascii="Arial" w:eastAsia="Arial" w:hAnsi="Arial" w:cs="Arial"/>
                <w:sz w:val="18"/>
                <w:szCs w:val="18"/>
              </w:rPr>
            </w:pPr>
          </w:p>
        </w:tc>
        <w:tc>
          <w:tcPr>
            <w:tcW w:w="868" w:type="dxa"/>
            <w:gridSpan w:val="3"/>
            <w:tcBorders>
              <w:top w:val="single" w:sz="7" w:space="0" w:color="000000"/>
              <w:left w:val="single" w:sz="7" w:space="0" w:color="000000"/>
              <w:bottom w:val="single" w:sz="7" w:space="0" w:color="000000"/>
              <w:right w:val="single" w:sz="7" w:space="0" w:color="000000"/>
            </w:tcBorders>
          </w:tcPr>
          <w:p w14:paraId="61C0D2B2" w14:textId="77777777" w:rsidR="002B0869" w:rsidRPr="00F91796" w:rsidRDefault="002B0869" w:rsidP="00C229F8">
            <w:pPr>
              <w:spacing w:before="22"/>
              <w:ind w:left="318" w:right="351"/>
              <w:jc w:val="center"/>
              <w:rPr>
                <w:rFonts w:ascii="Arial" w:eastAsia="Arial" w:hAnsi="Arial" w:cs="Arial"/>
                <w:sz w:val="18"/>
                <w:szCs w:val="18"/>
              </w:rPr>
            </w:pPr>
          </w:p>
        </w:tc>
        <w:tc>
          <w:tcPr>
            <w:tcW w:w="1448" w:type="dxa"/>
            <w:tcBorders>
              <w:top w:val="single" w:sz="7" w:space="0" w:color="000000"/>
              <w:left w:val="single" w:sz="7" w:space="0" w:color="000000"/>
              <w:bottom w:val="single" w:sz="7" w:space="0" w:color="000000"/>
              <w:right w:val="single" w:sz="7" w:space="0" w:color="000000"/>
            </w:tcBorders>
          </w:tcPr>
          <w:p w14:paraId="3D5FE1F6" w14:textId="77777777" w:rsidR="002B0869" w:rsidRPr="00F91796" w:rsidRDefault="002B0869" w:rsidP="00C229F8">
            <w:pPr>
              <w:spacing w:before="22"/>
              <w:ind w:left="530" w:right="530"/>
              <w:jc w:val="center"/>
              <w:rPr>
                <w:rFonts w:ascii="Arial" w:eastAsia="Arial" w:hAnsi="Arial" w:cs="Arial"/>
                <w:spacing w:val="1"/>
                <w:sz w:val="18"/>
                <w:szCs w:val="18"/>
              </w:rPr>
            </w:pPr>
          </w:p>
        </w:tc>
      </w:tr>
      <w:tr w:rsidR="002B0869" w:rsidRPr="00F91796" w14:paraId="287F18D5" w14:textId="77777777" w:rsidTr="00C229F8">
        <w:trPr>
          <w:trHeight w:hRule="exact" w:val="355"/>
        </w:trPr>
        <w:tc>
          <w:tcPr>
            <w:tcW w:w="982" w:type="dxa"/>
            <w:gridSpan w:val="2"/>
            <w:tcBorders>
              <w:top w:val="single" w:sz="7" w:space="0" w:color="000000"/>
              <w:left w:val="single" w:sz="7" w:space="0" w:color="000000"/>
              <w:bottom w:val="single" w:sz="7" w:space="0" w:color="000000"/>
              <w:right w:val="single" w:sz="7" w:space="0" w:color="000000"/>
            </w:tcBorders>
          </w:tcPr>
          <w:p w14:paraId="3653DFAF" w14:textId="77777777" w:rsidR="002B0869" w:rsidRPr="00F91796" w:rsidRDefault="002B0869" w:rsidP="00C229F8">
            <w:pPr>
              <w:spacing w:before="22"/>
              <w:ind w:left="64"/>
              <w:rPr>
                <w:rFonts w:ascii="Arial" w:eastAsia="Arial" w:hAnsi="Arial" w:cs="Arial"/>
                <w:b/>
                <w:spacing w:val="1"/>
                <w:sz w:val="18"/>
                <w:szCs w:val="18"/>
              </w:rPr>
            </w:pPr>
            <w:r w:rsidRPr="00F91796">
              <w:rPr>
                <w:rFonts w:ascii="Arial" w:eastAsia="Arial" w:hAnsi="Arial" w:cs="Arial"/>
                <w:b/>
                <w:spacing w:val="1"/>
                <w:sz w:val="18"/>
                <w:szCs w:val="18"/>
              </w:rPr>
              <w:t>1.2.4.5</w:t>
            </w:r>
          </w:p>
        </w:tc>
        <w:tc>
          <w:tcPr>
            <w:tcW w:w="5614" w:type="dxa"/>
            <w:gridSpan w:val="4"/>
            <w:tcBorders>
              <w:top w:val="single" w:sz="7" w:space="0" w:color="000000"/>
              <w:left w:val="single" w:sz="7" w:space="0" w:color="000000"/>
              <w:bottom w:val="single" w:sz="7" w:space="0" w:color="000000"/>
              <w:right w:val="single" w:sz="7" w:space="0" w:color="000000"/>
            </w:tcBorders>
          </w:tcPr>
          <w:p w14:paraId="4AB9155D" w14:textId="77777777" w:rsidR="002B0869" w:rsidRPr="00F91796" w:rsidRDefault="002B0869" w:rsidP="00C229F8">
            <w:pPr>
              <w:spacing w:before="22"/>
              <w:ind w:left="64"/>
              <w:rPr>
                <w:rFonts w:ascii="Arial" w:eastAsia="Arial" w:hAnsi="Arial" w:cs="Arial"/>
                <w:b/>
                <w:sz w:val="18"/>
                <w:szCs w:val="18"/>
              </w:rPr>
            </w:pPr>
            <w:r w:rsidRPr="00F91796">
              <w:rPr>
                <w:rFonts w:ascii="Arial" w:eastAsia="Arial" w:hAnsi="Arial" w:cs="Arial"/>
                <w:b/>
                <w:sz w:val="18"/>
                <w:szCs w:val="18"/>
              </w:rPr>
              <w:t>Equipo de Defensa y Seguridad1</w:t>
            </w:r>
          </w:p>
        </w:tc>
        <w:tc>
          <w:tcPr>
            <w:tcW w:w="868" w:type="dxa"/>
            <w:gridSpan w:val="3"/>
            <w:tcBorders>
              <w:top w:val="single" w:sz="7" w:space="0" w:color="000000"/>
              <w:left w:val="single" w:sz="7" w:space="0" w:color="000000"/>
              <w:bottom w:val="single" w:sz="7" w:space="0" w:color="000000"/>
              <w:right w:val="single" w:sz="7" w:space="0" w:color="000000"/>
            </w:tcBorders>
          </w:tcPr>
          <w:p w14:paraId="397573FE" w14:textId="77777777" w:rsidR="002B0869" w:rsidRPr="00F91796" w:rsidRDefault="002B0869" w:rsidP="00C229F8">
            <w:pPr>
              <w:spacing w:before="22"/>
              <w:ind w:left="318" w:right="351"/>
              <w:jc w:val="center"/>
              <w:rPr>
                <w:rFonts w:ascii="Arial" w:eastAsia="Arial" w:hAnsi="Arial" w:cs="Arial"/>
                <w:b/>
                <w:sz w:val="18"/>
                <w:szCs w:val="18"/>
              </w:rPr>
            </w:pPr>
            <w:r w:rsidRPr="00F91796">
              <w:rPr>
                <w:rFonts w:ascii="Arial" w:eastAsia="Arial" w:hAnsi="Arial" w:cs="Arial"/>
                <w:b/>
                <w:sz w:val="18"/>
                <w:szCs w:val="18"/>
              </w:rPr>
              <w:t>*</w:t>
            </w:r>
          </w:p>
        </w:tc>
        <w:tc>
          <w:tcPr>
            <w:tcW w:w="1448" w:type="dxa"/>
            <w:tcBorders>
              <w:top w:val="single" w:sz="7" w:space="0" w:color="000000"/>
              <w:left w:val="single" w:sz="7" w:space="0" w:color="000000"/>
              <w:bottom w:val="single" w:sz="7" w:space="0" w:color="000000"/>
              <w:right w:val="single" w:sz="7" w:space="0" w:color="000000"/>
            </w:tcBorders>
          </w:tcPr>
          <w:p w14:paraId="69EF9DA1" w14:textId="77777777" w:rsidR="002B0869" w:rsidRPr="00F91796" w:rsidRDefault="002B0869" w:rsidP="00C229F8">
            <w:pPr>
              <w:spacing w:before="22"/>
              <w:ind w:left="530" w:right="530"/>
              <w:jc w:val="center"/>
              <w:rPr>
                <w:rFonts w:ascii="Arial" w:eastAsia="Arial" w:hAnsi="Arial" w:cs="Arial"/>
                <w:b/>
                <w:spacing w:val="1"/>
                <w:sz w:val="18"/>
                <w:szCs w:val="18"/>
              </w:rPr>
            </w:pPr>
            <w:r w:rsidRPr="00F91796">
              <w:rPr>
                <w:rFonts w:ascii="Arial" w:eastAsia="Arial" w:hAnsi="Arial" w:cs="Arial"/>
                <w:b/>
                <w:spacing w:val="1"/>
                <w:sz w:val="18"/>
                <w:szCs w:val="18"/>
              </w:rPr>
              <w:t>*</w:t>
            </w:r>
          </w:p>
        </w:tc>
      </w:tr>
      <w:tr w:rsidR="002B0869" w:rsidRPr="00F91796" w14:paraId="279FE473" w14:textId="77777777" w:rsidTr="00C229F8">
        <w:trPr>
          <w:trHeight w:hRule="exact" w:val="341"/>
        </w:trPr>
        <w:tc>
          <w:tcPr>
            <w:tcW w:w="8912" w:type="dxa"/>
            <w:gridSpan w:val="10"/>
            <w:tcBorders>
              <w:top w:val="single" w:sz="7" w:space="0" w:color="000000"/>
              <w:left w:val="single" w:sz="7" w:space="0" w:color="000000"/>
              <w:bottom w:val="single" w:sz="7" w:space="0" w:color="000000"/>
              <w:right w:val="single" w:sz="7" w:space="0" w:color="000000"/>
            </w:tcBorders>
          </w:tcPr>
          <w:p w14:paraId="2EE87A13" w14:textId="77777777" w:rsidR="002B0869" w:rsidRPr="00F91796" w:rsidRDefault="002B0869" w:rsidP="00C229F8"/>
        </w:tc>
      </w:tr>
      <w:tr w:rsidR="002B0869" w:rsidRPr="00F91796" w14:paraId="6320BBEB"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3C0BD66F"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2.4</w:t>
            </w:r>
            <w:r w:rsidRPr="00F91796">
              <w:rPr>
                <w:rFonts w:ascii="Arial" w:eastAsia="Arial" w:hAnsi="Arial" w:cs="Arial"/>
                <w:b/>
                <w:spacing w:val="-2"/>
                <w:sz w:val="18"/>
                <w:szCs w:val="18"/>
              </w:rPr>
              <w:t>.</w:t>
            </w:r>
            <w:r w:rsidRPr="00F91796">
              <w:rPr>
                <w:rFonts w:ascii="Arial" w:eastAsia="Arial" w:hAnsi="Arial" w:cs="Arial"/>
                <w:b/>
                <w:sz w:val="18"/>
                <w:szCs w:val="18"/>
              </w:rPr>
              <w:t>6</w:t>
            </w:r>
          </w:p>
        </w:tc>
        <w:tc>
          <w:tcPr>
            <w:tcW w:w="7930" w:type="dxa"/>
            <w:gridSpan w:val="8"/>
            <w:tcBorders>
              <w:top w:val="single" w:sz="7" w:space="0" w:color="000000"/>
              <w:left w:val="single" w:sz="7" w:space="0" w:color="000000"/>
              <w:bottom w:val="nil"/>
              <w:right w:val="single" w:sz="7" w:space="0" w:color="000000"/>
            </w:tcBorders>
          </w:tcPr>
          <w:p w14:paraId="2D2E452E"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b/>
                <w:spacing w:val="1"/>
                <w:sz w:val="18"/>
                <w:szCs w:val="18"/>
              </w:rPr>
              <w:t>Ma</w:t>
            </w:r>
            <w:r w:rsidRPr="00F91796">
              <w:rPr>
                <w:rFonts w:ascii="Arial" w:eastAsia="Arial" w:hAnsi="Arial" w:cs="Arial"/>
                <w:b/>
                <w:sz w:val="18"/>
                <w:szCs w:val="18"/>
              </w:rPr>
              <w:t>q</w:t>
            </w:r>
            <w:r w:rsidRPr="00F91796">
              <w:rPr>
                <w:rFonts w:ascii="Arial" w:eastAsia="Arial" w:hAnsi="Arial" w:cs="Arial"/>
                <w:b/>
                <w:spacing w:val="1"/>
                <w:sz w:val="18"/>
                <w:szCs w:val="18"/>
              </w:rPr>
              <w:t>u</w:t>
            </w:r>
            <w:r w:rsidRPr="00F91796">
              <w:rPr>
                <w:rFonts w:ascii="Arial" w:eastAsia="Arial" w:hAnsi="Arial" w:cs="Arial"/>
                <w:b/>
                <w:spacing w:val="-2"/>
                <w:sz w:val="18"/>
                <w:szCs w:val="18"/>
              </w:rPr>
              <w:t>i</w:t>
            </w:r>
            <w:r w:rsidRPr="00F91796">
              <w:rPr>
                <w:rFonts w:ascii="Arial" w:eastAsia="Arial" w:hAnsi="Arial" w:cs="Arial"/>
                <w:b/>
                <w:sz w:val="18"/>
                <w:szCs w:val="18"/>
              </w:rPr>
              <w:t>n</w:t>
            </w:r>
            <w:r w:rsidRPr="00F91796">
              <w:rPr>
                <w:rFonts w:ascii="Arial" w:eastAsia="Arial" w:hAnsi="Arial" w:cs="Arial"/>
                <w:b/>
                <w:spacing w:val="1"/>
                <w:sz w:val="18"/>
                <w:szCs w:val="18"/>
              </w:rPr>
              <w:t>a</w:t>
            </w:r>
            <w:r w:rsidRPr="00F91796">
              <w:rPr>
                <w:rFonts w:ascii="Arial" w:eastAsia="Arial" w:hAnsi="Arial" w:cs="Arial"/>
                <w:b/>
                <w:sz w:val="18"/>
                <w:szCs w:val="18"/>
              </w:rPr>
              <w:t>ri</w:t>
            </w:r>
            <w:r w:rsidRPr="00F91796">
              <w:rPr>
                <w:rFonts w:ascii="Arial" w:eastAsia="Arial" w:hAnsi="Arial" w:cs="Arial"/>
                <w:b/>
                <w:spacing w:val="1"/>
                <w:sz w:val="18"/>
                <w:szCs w:val="18"/>
              </w:rPr>
              <w:t>a</w:t>
            </w:r>
            <w:r w:rsidRPr="00F91796">
              <w:rPr>
                <w:rFonts w:ascii="Arial" w:eastAsia="Arial" w:hAnsi="Arial" w:cs="Arial"/>
                <w:b/>
                <w:sz w:val="18"/>
                <w:szCs w:val="18"/>
              </w:rPr>
              <w:t>,</w:t>
            </w:r>
            <w:r w:rsidRPr="00F91796">
              <w:rPr>
                <w:rFonts w:ascii="Arial" w:eastAsia="Arial" w:hAnsi="Arial" w:cs="Arial"/>
                <w:b/>
                <w:spacing w:val="1"/>
                <w:sz w:val="18"/>
                <w:szCs w:val="18"/>
              </w:rPr>
              <w:t xml:space="preserve"> </w:t>
            </w:r>
            <w:r w:rsidRPr="00F91796">
              <w:rPr>
                <w:rFonts w:ascii="Arial" w:eastAsia="Arial" w:hAnsi="Arial" w:cs="Arial"/>
                <w:b/>
                <w:spacing w:val="-1"/>
                <w:sz w:val="18"/>
                <w:szCs w:val="18"/>
              </w:rPr>
              <w:t>O</w:t>
            </w:r>
            <w:r w:rsidRPr="00F91796">
              <w:rPr>
                <w:rFonts w:ascii="Arial" w:eastAsia="Arial" w:hAnsi="Arial" w:cs="Arial"/>
                <w:b/>
                <w:sz w:val="18"/>
                <w:szCs w:val="18"/>
              </w:rPr>
              <w:t>tros</w:t>
            </w:r>
            <w:r w:rsidRPr="00F91796">
              <w:rPr>
                <w:rFonts w:ascii="Arial" w:eastAsia="Arial" w:hAnsi="Arial" w:cs="Arial"/>
                <w:b/>
                <w:spacing w:val="-1"/>
                <w:sz w:val="18"/>
                <w:szCs w:val="18"/>
              </w:rPr>
              <w:t xml:space="preserve"> </w:t>
            </w:r>
            <w:r w:rsidRPr="00F91796">
              <w:rPr>
                <w:rFonts w:ascii="Arial" w:eastAsia="Arial" w:hAnsi="Arial" w:cs="Arial"/>
                <w:b/>
                <w:sz w:val="18"/>
                <w:szCs w:val="18"/>
              </w:rPr>
              <w:t>E</w:t>
            </w:r>
            <w:r w:rsidRPr="00F91796">
              <w:rPr>
                <w:rFonts w:ascii="Arial" w:eastAsia="Arial" w:hAnsi="Arial" w:cs="Arial"/>
                <w:b/>
                <w:spacing w:val="1"/>
                <w:sz w:val="18"/>
                <w:szCs w:val="18"/>
              </w:rPr>
              <w:t>q</w:t>
            </w:r>
            <w:r w:rsidRPr="00F91796">
              <w:rPr>
                <w:rFonts w:ascii="Arial" w:eastAsia="Arial" w:hAnsi="Arial" w:cs="Arial"/>
                <w:b/>
                <w:sz w:val="18"/>
                <w:szCs w:val="18"/>
              </w:rPr>
              <w:t>u</w:t>
            </w:r>
            <w:r w:rsidRPr="00F91796">
              <w:rPr>
                <w:rFonts w:ascii="Arial" w:eastAsia="Arial" w:hAnsi="Arial" w:cs="Arial"/>
                <w:b/>
                <w:spacing w:val="1"/>
                <w:sz w:val="18"/>
                <w:szCs w:val="18"/>
              </w:rPr>
              <w:t>i</w:t>
            </w:r>
            <w:r w:rsidRPr="00F91796">
              <w:rPr>
                <w:rFonts w:ascii="Arial" w:eastAsia="Arial" w:hAnsi="Arial" w:cs="Arial"/>
                <w:b/>
                <w:sz w:val="18"/>
                <w:szCs w:val="18"/>
              </w:rPr>
              <w:t>p</w:t>
            </w:r>
            <w:r w:rsidRPr="00F91796">
              <w:rPr>
                <w:rFonts w:ascii="Arial" w:eastAsia="Arial" w:hAnsi="Arial" w:cs="Arial"/>
                <w:b/>
                <w:spacing w:val="-2"/>
                <w:sz w:val="18"/>
                <w:szCs w:val="18"/>
              </w:rPr>
              <w:t>o</w:t>
            </w:r>
            <w:r w:rsidRPr="00F91796">
              <w:rPr>
                <w:rFonts w:ascii="Arial" w:eastAsia="Arial" w:hAnsi="Arial" w:cs="Arial"/>
                <w:b/>
                <w:sz w:val="18"/>
                <w:szCs w:val="18"/>
              </w:rPr>
              <w:t>s</w:t>
            </w:r>
            <w:r w:rsidRPr="00F91796">
              <w:rPr>
                <w:rFonts w:ascii="Arial" w:eastAsia="Arial" w:hAnsi="Arial" w:cs="Arial"/>
                <w:b/>
                <w:spacing w:val="3"/>
                <w:sz w:val="18"/>
                <w:szCs w:val="18"/>
              </w:rPr>
              <w:t xml:space="preserve"> </w:t>
            </w:r>
            <w:r w:rsidRPr="00F91796">
              <w:rPr>
                <w:rFonts w:ascii="Arial" w:eastAsia="Arial" w:hAnsi="Arial" w:cs="Arial"/>
                <w:b/>
                <w:sz w:val="18"/>
                <w:szCs w:val="18"/>
              </w:rPr>
              <w:t>y</w:t>
            </w:r>
            <w:r w:rsidRPr="00F91796">
              <w:rPr>
                <w:rFonts w:ascii="Arial" w:eastAsia="Arial" w:hAnsi="Arial" w:cs="Arial"/>
                <w:b/>
                <w:spacing w:val="-4"/>
                <w:sz w:val="18"/>
                <w:szCs w:val="18"/>
              </w:rPr>
              <w:t xml:space="preserve"> </w:t>
            </w:r>
            <w:r w:rsidRPr="00F91796">
              <w:rPr>
                <w:rFonts w:ascii="Arial" w:eastAsia="Arial" w:hAnsi="Arial" w:cs="Arial"/>
                <w:b/>
                <w:sz w:val="18"/>
                <w:szCs w:val="18"/>
              </w:rPr>
              <w:t>H</w:t>
            </w:r>
            <w:r w:rsidRPr="00F91796">
              <w:rPr>
                <w:rFonts w:ascii="Arial" w:eastAsia="Arial" w:hAnsi="Arial" w:cs="Arial"/>
                <w:b/>
                <w:spacing w:val="1"/>
                <w:sz w:val="18"/>
                <w:szCs w:val="18"/>
              </w:rPr>
              <w:t>e</w:t>
            </w:r>
            <w:r w:rsidRPr="00F91796">
              <w:rPr>
                <w:rFonts w:ascii="Arial" w:eastAsia="Arial" w:hAnsi="Arial" w:cs="Arial"/>
                <w:b/>
                <w:sz w:val="18"/>
                <w:szCs w:val="18"/>
              </w:rPr>
              <w:t>r</w:t>
            </w:r>
            <w:r w:rsidRPr="00F91796">
              <w:rPr>
                <w:rFonts w:ascii="Arial" w:eastAsia="Arial" w:hAnsi="Arial" w:cs="Arial"/>
                <w:b/>
                <w:spacing w:val="-1"/>
                <w:sz w:val="18"/>
                <w:szCs w:val="18"/>
              </w:rPr>
              <w:t>r</w:t>
            </w:r>
            <w:r w:rsidRPr="00F91796">
              <w:rPr>
                <w:rFonts w:ascii="Arial" w:eastAsia="Arial" w:hAnsi="Arial" w:cs="Arial"/>
                <w:b/>
                <w:spacing w:val="1"/>
                <w:sz w:val="18"/>
                <w:szCs w:val="18"/>
              </w:rPr>
              <w:t>am</w:t>
            </w:r>
            <w:r w:rsidRPr="00F91796">
              <w:rPr>
                <w:rFonts w:ascii="Arial" w:eastAsia="Arial" w:hAnsi="Arial" w:cs="Arial"/>
                <w:b/>
                <w:sz w:val="18"/>
                <w:szCs w:val="18"/>
              </w:rPr>
              <w:t>i</w:t>
            </w:r>
            <w:r w:rsidRPr="00F91796">
              <w:rPr>
                <w:rFonts w:ascii="Arial" w:eastAsia="Arial" w:hAnsi="Arial" w:cs="Arial"/>
                <w:b/>
                <w:spacing w:val="1"/>
                <w:sz w:val="18"/>
                <w:szCs w:val="18"/>
              </w:rPr>
              <w:t>e</w:t>
            </w:r>
            <w:r w:rsidRPr="00F91796">
              <w:rPr>
                <w:rFonts w:ascii="Arial" w:eastAsia="Arial" w:hAnsi="Arial" w:cs="Arial"/>
                <w:b/>
                <w:sz w:val="18"/>
                <w:szCs w:val="18"/>
              </w:rPr>
              <w:t>nt</w:t>
            </w:r>
            <w:r w:rsidRPr="00F91796">
              <w:rPr>
                <w:rFonts w:ascii="Arial" w:eastAsia="Arial" w:hAnsi="Arial" w:cs="Arial"/>
                <w:b/>
                <w:spacing w:val="-1"/>
                <w:sz w:val="18"/>
                <w:szCs w:val="18"/>
              </w:rPr>
              <w:t>a</w:t>
            </w:r>
            <w:r w:rsidRPr="00F91796">
              <w:rPr>
                <w:rFonts w:ascii="Arial" w:eastAsia="Arial" w:hAnsi="Arial" w:cs="Arial"/>
                <w:b/>
                <w:sz w:val="18"/>
                <w:szCs w:val="18"/>
              </w:rPr>
              <w:t>s</w:t>
            </w:r>
          </w:p>
        </w:tc>
      </w:tr>
      <w:tr w:rsidR="002B0869" w:rsidRPr="00F91796" w14:paraId="6F9B96F1"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79D607C6"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22F53C3B"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A</w:t>
            </w:r>
            <w:r w:rsidRPr="00F91796">
              <w:rPr>
                <w:rFonts w:ascii="Arial" w:eastAsia="Arial" w:hAnsi="Arial" w:cs="Arial"/>
                <w:spacing w:val="1"/>
                <w:sz w:val="18"/>
                <w:szCs w:val="18"/>
              </w:rPr>
              <w:t>g</w:t>
            </w:r>
            <w:r w:rsidRPr="00F91796">
              <w:rPr>
                <w:rFonts w:ascii="Arial" w:eastAsia="Arial" w:hAnsi="Arial" w:cs="Arial"/>
                <w:sz w:val="18"/>
                <w:szCs w:val="18"/>
              </w:rPr>
              <w:t>r</w:t>
            </w:r>
            <w:r w:rsidRPr="00F91796">
              <w:rPr>
                <w:rFonts w:ascii="Arial" w:eastAsia="Arial" w:hAnsi="Arial" w:cs="Arial"/>
                <w:spacing w:val="1"/>
                <w:sz w:val="18"/>
                <w:szCs w:val="18"/>
              </w:rPr>
              <w:t>op</w:t>
            </w:r>
            <w:r w:rsidRPr="00F91796">
              <w:rPr>
                <w:rFonts w:ascii="Arial" w:eastAsia="Arial" w:hAnsi="Arial" w:cs="Arial"/>
                <w:spacing w:val="-2"/>
                <w:sz w:val="18"/>
                <w:szCs w:val="18"/>
              </w:rPr>
              <w:t>e</w:t>
            </w:r>
            <w:r w:rsidRPr="00F91796">
              <w:rPr>
                <w:rFonts w:ascii="Arial" w:eastAsia="Arial" w:hAnsi="Arial" w:cs="Arial"/>
                <w:spacing w:val="-1"/>
                <w:sz w:val="18"/>
                <w:szCs w:val="18"/>
              </w:rPr>
              <w:t>c</w:t>
            </w:r>
            <w:r w:rsidRPr="00F91796">
              <w:rPr>
                <w:rFonts w:ascii="Arial" w:eastAsia="Arial" w:hAnsi="Arial" w:cs="Arial"/>
                <w:spacing w:val="1"/>
                <w:sz w:val="18"/>
                <w:szCs w:val="18"/>
              </w:rPr>
              <w:t>ua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35145C4E" w14:textId="77777777" w:rsidR="002B0869" w:rsidRPr="00F91796" w:rsidRDefault="002B0869" w:rsidP="00C229F8">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6925F101"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5D55D7FB"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3EFA84C0"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2BC3947D"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092457FB" w14:textId="77777777" w:rsidR="002B0869" w:rsidRPr="00F91796" w:rsidRDefault="002B0869" w:rsidP="00C229F8">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524FE01F"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356BC3F7"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414BA667"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0E3B9EAE"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4"/>
                <w:sz w:val="18"/>
                <w:szCs w:val="18"/>
              </w:rPr>
              <w:t>M</w:t>
            </w:r>
            <w:r w:rsidRPr="00F91796">
              <w:rPr>
                <w:rFonts w:ascii="Arial" w:eastAsia="Arial" w:hAnsi="Arial" w:cs="Arial"/>
                <w:spacing w:val="1"/>
                <w:sz w:val="18"/>
                <w:szCs w:val="18"/>
              </w:rPr>
              <w:t>aquina</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z w:val="18"/>
                <w:szCs w:val="18"/>
              </w:rPr>
              <w:t>a</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w:t>
            </w:r>
            <w:r w:rsidRPr="00F91796">
              <w:rPr>
                <w:rFonts w:ascii="Arial" w:eastAsia="Arial" w:hAnsi="Arial" w:cs="Arial"/>
                <w:spacing w:val="-2"/>
                <w:sz w:val="18"/>
                <w:szCs w:val="18"/>
              </w:rPr>
              <w:t>n</w:t>
            </w:r>
            <w:r w:rsidRPr="00F91796">
              <w:rPr>
                <w:rFonts w:ascii="Arial" w:eastAsia="Arial" w:hAnsi="Arial" w:cs="Arial"/>
                <w:spacing w:val="1"/>
                <w:sz w:val="18"/>
                <w:szCs w:val="18"/>
              </w:rPr>
              <w:t>s</w:t>
            </w:r>
            <w:r w:rsidRPr="00F91796">
              <w:rPr>
                <w:rFonts w:ascii="Arial" w:eastAsia="Arial" w:hAnsi="Arial" w:cs="Arial"/>
                <w:spacing w:val="-2"/>
                <w:sz w:val="18"/>
                <w:szCs w:val="18"/>
              </w:rPr>
              <w:t>t</w:t>
            </w:r>
            <w:r w:rsidRPr="00F91796">
              <w:rPr>
                <w:rFonts w:ascii="Arial" w:eastAsia="Arial" w:hAnsi="Arial" w:cs="Arial"/>
                <w:sz w:val="18"/>
                <w:szCs w:val="18"/>
              </w:rPr>
              <w:t>r</w:t>
            </w:r>
            <w:r w:rsidRPr="00F91796">
              <w:rPr>
                <w:rFonts w:ascii="Arial" w:eastAsia="Arial" w:hAnsi="Arial" w:cs="Arial"/>
                <w:spacing w:val="1"/>
                <w:sz w:val="18"/>
                <w:szCs w:val="18"/>
              </w:rPr>
              <w:t>uc</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204323D9" w14:textId="77777777" w:rsidR="002B0869" w:rsidRPr="00F91796" w:rsidRDefault="002B0869" w:rsidP="00C229F8">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4AC2FCDF"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299799A1" w14:textId="77777777" w:rsidTr="00C229F8">
        <w:trPr>
          <w:trHeight w:hRule="exact" w:val="569"/>
        </w:trPr>
        <w:tc>
          <w:tcPr>
            <w:tcW w:w="982" w:type="dxa"/>
            <w:gridSpan w:val="2"/>
            <w:tcBorders>
              <w:top w:val="single" w:sz="7" w:space="0" w:color="000000"/>
              <w:left w:val="single" w:sz="7" w:space="0" w:color="000000"/>
              <w:bottom w:val="single" w:sz="7" w:space="0" w:color="000000"/>
              <w:right w:val="single" w:sz="7" w:space="0" w:color="000000"/>
            </w:tcBorders>
          </w:tcPr>
          <w:p w14:paraId="0249A31E" w14:textId="77777777" w:rsidR="002B0869" w:rsidRPr="00F91796" w:rsidRDefault="002B0869" w:rsidP="00C229F8">
            <w:pPr>
              <w:spacing w:before="6" w:line="120" w:lineRule="exact"/>
              <w:rPr>
                <w:sz w:val="12"/>
                <w:szCs w:val="12"/>
              </w:rPr>
            </w:pPr>
          </w:p>
          <w:p w14:paraId="5E0354D8" w14:textId="77777777" w:rsidR="002B0869" w:rsidRPr="00F91796" w:rsidRDefault="002B0869" w:rsidP="00C229F8">
            <w:pPr>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40DABCFC" w14:textId="77777777" w:rsidR="002B0869" w:rsidRPr="00F91796" w:rsidRDefault="002B0869" w:rsidP="00C229F8">
            <w:pPr>
              <w:spacing w:before="13"/>
              <w:ind w:left="64"/>
              <w:rPr>
                <w:rFonts w:ascii="Arial" w:eastAsia="Arial" w:hAnsi="Arial" w:cs="Arial"/>
                <w:sz w:val="18"/>
                <w:szCs w:val="18"/>
              </w:rPr>
            </w:pPr>
            <w:r w:rsidRPr="00F91796">
              <w:rPr>
                <w:rFonts w:ascii="Arial" w:eastAsia="Arial" w:hAnsi="Arial" w:cs="Arial"/>
                <w:sz w:val="18"/>
                <w:szCs w:val="18"/>
              </w:rPr>
              <w:t>S</w:t>
            </w:r>
            <w:r w:rsidRPr="00F91796">
              <w:rPr>
                <w:rFonts w:ascii="Arial" w:eastAsia="Arial" w:hAnsi="Arial" w:cs="Arial"/>
                <w:spacing w:val="1"/>
                <w:sz w:val="18"/>
                <w:szCs w:val="18"/>
              </w:rPr>
              <w:t>is</w:t>
            </w:r>
            <w:r w:rsidRPr="00F91796">
              <w:rPr>
                <w:rFonts w:ascii="Arial" w:eastAsia="Arial" w:hAnsi="Arial" w:cs="Arial"/>
                <w:sz w:val="18"/>
                <w:szCs w:val="18"/>
              </w:rPr>
              <w:t>t</w:t>
            </w:r>
            <w:r w:rsidRPr="00F91796">
              <w:rPr>
                <w:rFonts w:ascii="Arial" w:eastAsia="Arial" w:hAnsi="Arial" w:cs="Arial"/>
                <w:spacing w:val="-1"/>
                <w:sz w:val="18"/>
                <w:szCs w:val="18"/>
              </w:rPr>
              <w:t>e</w:t>
            </w:r>
            <w:r w:rsidRPr="00F91796">
              <w:rPr>
                <w:rFonts w:ascii="Arial" w:eastAsia="Arial" w:hAnsi="Arial" w:cs="Arial"/>
                <w:spacing w:val="1"/>
                <w:sz w:val="18"/>
                <w:szCs w:val="18"/>
              </w:rPr>
              <w:t>m</w:t>
            </w:r>
            <w:r w:rsidRPr="00F91796">
              <w:rPr>
                <w:rFonts w:ascii="Arial" w:eastAsia="Arial" w:hAnsi="Arial" w:cs="Arial"/>
                <w:spacing w:val="-2"/>
                <w:sz w:val="18"/>
                <w:szCs w:val="18"/>
              </w:rPr>
              <w:t>a</w:t>
            </w:r>
            <w:r w:rsidRPr="00F91796">
              <w:rPr>
                <w:rFonts w:ascii="Arial" w:eastAsia="Arial" w:hAnsi="Arial" w:cs="Arial"/>
                <w:sz w:val="18"/>
                <w:szCs w:val="18"/>
              </w:rPr>
              <w:t>s</w:t>
            </w:r>
            <w:r w:rsidRPr="00F91796">
              <w:rPr>
                <w:rFonts w:ascii="Arial" w:eastAsia="Arial" w:hAnsi="Arial" w:cs="Arial"/>
                <w:spacing w:val="40"/>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i</w:t>
            </w:r>
            <w:r w:rsidRPr="00F91796">
              <w:rPr>
                <w:rFonts w:ascii="Arial" w:eastAsia="Arial" w:hAnsi="Arial" w:cs="Arial"/>
                <w:sz w:val="18"/>
                <w:szCs w:val="18"/>
              </w:rPr>
              <w:t>re</w:t>
            </w:r>
            <w:r w:rsidRPr="00F91796">
              <w:rPr>
                <w:rFonts w:ascii="Arial" w:eastAsia="Arial" w:hAnsi="Arial" w:cs="Arial"/>
                <w:spacing w:val="39"/>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nd</w:t>
            </w:r>
            <w:r w:rsidRPr="00F91796">
              <w:rPr>
                <w:rFonts w:ascii="Arial" w:eastAsia="Arial" w:hAnsi="Arial" w:cs="Arial"/>
                <w:spacing w:val="-2"/>
                <w:sz w:val="18"/>
                <w:szCs w:val="18"/>
              </w:rPr>
              <w:t>i</w:t>
            </w:r>
            <w:r w:rsidRPr="00F91796">
              <w:rPr>
                <w:rFonts w:ascii="Arial" w:eastAsia="Arial" w:hAnsi="Arial" w:cs="Arial"/>
                <w:spacing w:val="1"/>
                <w:sz w:val="18"/>
                <w:szCs w:val="18"/>
              </w:rPr>
              <w:t>ci</w:t>
            </w:r>
            <w:r w:rsidRPr="00F91796">
              <w:rPr>
                <w:rFonts w:ascii="Arial" w:eastAsia="Arial" w:hAnsi="Arial" w:cs="Arial"/>
                <w:spacing w:val="-2"/>
                <w:sz w:val="18"/>
                <w:szCs w:val="18"/>
              </w:rPr>
              <w:t>on</w:t>
            </w:r>
            <w:r w:rsidRPr="00F91796">
              <w:rPr>
                <w:rFonts w:ascii="Arial" w:eastAsia="Arial" w:hAnsi="Arial" w:cs="Arial"/>
                <w:spacing w:val="1"/>
                <w:sz w:val="18"/>
                <w:szCs w:val="18"/>
              </w:rPr>
              <w:t>ado</w:t>
            </w:r>
            <w:r w:rsidRPr="00F91796">
              <w:rPr>
                <w:rFonts w:ascii="Arial" w:eastAsia="Arial" w:hAnsi="Arial" w:cs="Arial"/>
                <w:sz w:val="18"/>
                <w:szCs w:val="18"/>
              </w:rPr>
              <w:t>,</w:t>
            </w:r>
            <w:r w:rsidRPr="00F91796">
              <w:rPr>
                <w:rFonts w:ascii="Arial" w:eastAsia="Arial" w:hAnsi="Arial" w:cs="Arial"/>
                <w:spacing w:val="39"/>
                <w:sz w:val="18"/>
                <w:szCs w:val="18"/>
              </w:rPr>
              <w:t xml:space="preserve"> </w:t>
            </w:r>
            <w:r w:rsidRPr="00F91796">
              <w:rPr>
                <w:rFonts w:ascii="Arial" w:eastAsia="Arial" w:hAnsi="Arial" w:cs="Arial"/>
                <w:sz w:val="18"/>
                <w:szCs w:val="18"/>
              </w:rPr>
              <w:t>Ca</w:t>
            </w:r>
            <w:r w:rsidRPr="00F91796">
              <w:rPr>
                <w:rFonts w:ascii="Arial" w:eastAsia="Arial" w:hAnsi="Arial" w:cs="Arial"/>
                <w:spacing w:val="1"/>
                <w:sz w:val="18"/>
                <w:szCs w:val="18"/>
              </w:rPr>
              <w:t>l</w:t>
            </w:r>
            <w:r w:rsidRPr="00F91796">
              <w:rPr>
                <w:rFonts w:ascii="Arial" w:eastAsia="Arial" w:hAnsi="Arial" w:cs="Arial"/>
                <w:spacing w:val="-2"/>
                <w:sz w:val="18"/>
                <w:szCs w:val="18"/>
              </w:rPr>
              <w:t>e</w:t>
            </w:r>
            <w:r w:rsidRPr="00F91796">
              <w:rPr>
                <w:rFonts w:ascii="Arial" w:eastAsia="Arial" w:hAnsi="Arial" w:cs="Arial"/>
                <w:sz w:val="18"/>
                <w:szCs w:val="18"/>
              </w:rPr>
              <w:t>f</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r w:rsidRPr="00F91796">
              <w:rPr>
                <w:rFonts w:ascii="Arial" w:eastAsia="Arial" w:hAnsi="Arial" w:cs="Arial"/>
                <w:spacing w:val="39"/>
                <w:sz w:val="18"/>
                <w:szCs w:val="18"/>
              </w:rPr>
              <w:t xml:space="preserve"> </w:t>
            </w:r>
            <w:r w:rsidRPr="00F91796">
              <w:rPr>
                <w:rFonts w:ascii="Arial" w:eastAsia="Arial" w:hAnsi="Arial" w:cs="Arial"/>
                <w:sz w:val="18"/>
                <w:szCs w:val="18"/>
              </w:rPr>
              <w:t>y</w:t>
            </w:r>
            <w:r w:rsidRPr="00F91796">
              <w:rPr>
                <w:rFonts w:ascii="Arial" w:eastAsia="Arial" w:hAnsi="Arial" w:cs="Arial"/>
                <w:spacing w:val="38"/>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46"/>
                <w:sz w:val="18"/>
                <w:szCs w:val="18"/>
              </w:rPr>
              <w:t xml:space="preserve"> </w:t>
            </w:r>
            <w:r w:rsidRPr="00F91796">
              <w:rPr>
                <w:rFonts w:ascii="Arial" w:eastAsia="Arial" w:hAnsi="Arial" w:cs="Arial"/>
                <w:sz w:val="18"/>
                <w:szCs w:val="18"/>
              </w:rPr>
              <w:t>Re</w:t>
            </w:r>
            <w:r w:rsidRPr="00F91796">
              <w:rPr>
                <w:rFonts w:ascii="Arial" w:eastAsia="Arial" w:hAnsi="Arial" w:cs="Arial"/>
                <w:spacing w:val="1"/>
                <w:sz w:val="18"/>
                <w:szCs w:val="18"/>
              </w:rPr>
              <w:t>f</w:t>
            </w:r>
            <w:r w:rsidRPr="00F91796">
              <w:rPr>
                <w:rFonts w:ascii="Arial" w:eastAsia="Arial" w:hAnsi="Arial" w:cs="Arial"/>
                <w:sz w:val="18"/>
                <w:szCs w:val="18"/>
              </w:rPr>
              <w:t>r</w:t>
            </w:r>
            <w:r w:rsidRPr="00F91796">
              <w:rPr>
                <w:rFonts w:ascii="Arial" w:eastAsia="Arial" w:hAnsi="Arial" w:cs="Arial"/>
                <w:spacing w:val="1"/>
                <w:sz w:val="18"/>
                <w:szCs w:val="18"/>
              </w:rPr>
              <w:t>ige</w:t>
            </w:r>
            <w:r w:rsidRPr="00F91796">
              <w:rPr>
                <w:rFonts w:ascii="Arial" w:eastAsia="Arial" w:hAnsi="Arial" w:cs="Arial"/>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p>
          <w:p w14:paraId="2290EA36" w14:textId="77777777" w:rsidR="002B0869" w:rsidRPr="00F91796" w:rsidRDefault="002B0869" w:rsidP="00C229F8">
            <w:pPr>
              <w:spacing w:before="21"/>
              <w:ind w:left="64"/>
              <w:rPr>
                <w:rFonts w:ascii="Arial" w:eastAsia="Arial" w:hAnsi="Arial" w:cs="Arial"/>
                <w:sz w:val="18"/>
                <w:szCs w:val="18"/>
              </w:rPr>
            </w:pPr>
            <w:r w:rsidRPr="00F91796">
              <w:rPr>
                <w:rFonts w:ascii="Arial" w:eastAsia="Arial" w:hAnsi="Arial" w:cs="Arial"/>
                <w:sz w:val="18"/>
                <w:szCs w:val="18"/>
              </w:rPr>
              <w:t>I</w:t>
            </w:r>
            <w:r w:rsidRPr="00F91796">
              <w:rPr>
                <w:rFonts w:ascii="Arial" w:eastAsia="Arial" w:hAnsi="Arial" w:cs="Arial"/>
                <w:spacing w:val="1"/>
                <w:sz w:val="18"/>
                <w:szCs w:val="18"/>
              </w:rPr>
              <w:t>nd</w:t>
            </w:r>
            <w:r w:rsidRPr="00F91796">
              <w:rPr>
                <w:rFonts w:ascii="Arial" w:eastAsia="Arial" w:hAnsi="Arial" w:cs="Arial"/>
                <w:spacing w:val="-2"/>
                <w:sz w:val="18"/>
                <w:szCs w:val="18"/>
              </w:rPr>
              <w:t>u</w:t>
            </w:r>
            <w:r w:rsidRPr="00F91796">
              <w:rPr>
                <w:rFonts w:ascii="Arial" w:eastAsia="Arial" w:hAnsi="Arial" w:cs="Arial"/>
                <w:spacing w:val="1"/>
                <w:sz w:val="18"/>
                <w:szCs w:val="18"/>
              </w:rPr>
              <w:t>s</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2"/>
                <w:sz w:val="18"/>
                <w:szCs w:val="18"/>
              </w:rPr>
              <w:t>a</w:t>
            </w:r>
            <w:r w:rsidRPr="00F91796">
              <w:rPr>
                <w:rFonts w:ascii="Arial" w:eastAsia="Arial" w:hAnsi="Arial" w:cs="Arial"/>
                <w:sz w:val="18"/>
                <w:szCs w:val="18"/>
              </w:rPr>
              <w:t>l</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ome</w:t>
            </w:r>
            <w:r w:rsidRPr="00F91796">
              <w:rPr>
                <w:rFonts w:ascii="Arial" w:eastAsia="Arial" w:hAnsi="Arial" w:cs="Arial"/>
                <w:spacing w:val="-2"/>
                <w:sz w:val="18"/>
                <w:szCs w:val="18"/>
              </w:rPr>
              <w:t>r</w:t>
            </w:r>
            <w:r w:rsidRPr="00F91796">
              <w:rPr>
                <w:rFonts w:ascii="Arial" w:eastAsia="Arial" w:hAnsi="Arial" w:cs="Arial"/>
                <w:spacing w:val="1"/>
                <w:sz w:val="18"/>
                <w:szCs w:val="18"/>
              </w:rPr>
              <w:t>c</w:t>
            </w:r>
            <w:r w:rsidRPr="00F91796">
              <w:rPr>
                <w:rFonts w:ascii="Arial" w:eastAsia="Arial" w:hAnsi="Arial" w:cs="Arial"/>
                <w:spacing w:val="-2"/>
                <w:sz w:val="18"/>
                <w:szCs w:val="18"/>
              </w:rPr>
              <w:t>i</w:t>
            </w:r>
            <w:r w:rsidRPr="00F91796">
              <w:rPr>
                <w:rFonts w:ascii="Arial" w:eastAsia="Arial" w:hAnsi="Arial" w:cs="Arial"/>
                <w:spacing w:val="1"/>
                <w:sz w:val="18"/>
                <w:szCs w:val="18"/>
              </w:rPr>
              <w:t>a</w:t>
            </w:r>
            <w:r w:rsidRPr="00F91796">
              <w:rPr>
                <w:rFonts w:ascii="Arial" w:eastAsia="Arial" w:hAnsi="Arial" w:cs="Arial"/>
                <w:sz w:val="18"/>
                <w:szCs w:val="18"/>
              </w:rPr>
              <w:t>l</w:t>
            </w:r>
          </w:p>
        </w:tc>
        <w:tc>
          <w:tcPr>
            <w:tcW w:w="821" w:type="dxa"/>
            <w:gridSpan w:val="2"/>
            <w:tcBorders>
              <w:top w:val="single" w:sz="7" w:space="0" w:color="000000"/>
              <w:left w:val="single" w:sz="7" w:space="0" w:color="000000"/>
              <w:bottom w:val="single" w:sz="7" w:space="0" w:color="000000"/>
              <w:right w:val="single" w:sz="7" w:space="0" w:color="000000"/>
            </w:tcBorders>
          </w:tcPr>
          <w:p w14:paraId="2C75EB37" w14:textId="77777777" w:rsidR="002B0869" w:rsidRPr="00F91796" w:rsidRDefault="002B0869" w:rsidP="00C229F8">
            <w:pPr>
              <w:spacing w:before="6" w:line="120" w:lineRule="exact"/>
              <w:rPr>
                <w:sz w:val="12"/>
                <w:szCs w:val="12"/>
              </w:rPr>
            </w:pPr>
          </w:p>
          <w:p w14:paraId="42CD6F67" w14:textId="77777777" w:rsidR="002B0869" w:rsidRPr="00F91796" w:rsidRDefault="002B0869" w:rsidP="00C229F8">
            <w:pPr>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5E3794C3" w14:textId="77777777" w:rsidR="002B0869" w:rsidRPr="00F91796" w:rsidRDefault="002B0869" w:rsidP="00C229F8">
            <w:pPr>
              <w:spacing w:before="6" w:line="120" w:lineRule="exact"/>
              <w:rPr>
                <w:sz w:val="12"/>
                <w:szCs w:val="12"/>
              </w:rPr>
            </w:pPr>
          </w:p>
          <w:p w14:paraId="1552EE95" w14:textId="77777777" w:rsidR="002B0869" w:rsidRPr="00F91796" w:rsidRDefault="002B0869" w:rsidP="00C229F8">
            <w:pPr>
              <w:ind w:left="521" w:right="521"/>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1E98D083"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37ED849D"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2E054DAF"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z w:val="18"/>
                <w:szCs w:val="18"/>
              </w:rPr>
              <w:t>o</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2"/>
                <w:sz w:val="18"/>
                <w:szCs w:val="18"/>
              </w:rPr>
              <w:t>o</w:t>
            </w:r>
            <w:r w:rsidRPr="00F91796">
              <w:rPr>
                <w:rFonts w:ascii="Arial" w:eastAsia="Arial" w:hAnsi="Arial" w:cs="Arial"/>
                <w:spacing w:val="1"/>
                <w:sz w:val="18"/>
                <w:szCs w:val="18"/>
              </w:rPr>
              <w:t>m</w:t>
            </w:r>
            <w:r w:rsidRPr="00F91796">
              <w:rPr>
                <w:rFonts w:ascii="Arial" w:eastAsia="Arial" w:hAnsi="Arial" w:cs="Arial"/>
                <w:spacing w:val="-2"/>
                <w:sz w:val="18"/>
                <w:szCs w:val="18"/>
              </w:rPr>
              <w:t>u</w:t>
            </w:r>
            <w:r w:rsidRPr="00F91796">
              <w:rPr>
                <w:rFonts w:ascii="Arial" w:eastAsia="Arial" w:hAnsi="Arial" w:cs="Arial"/>
                <w:spacing w:val="1"/>
                <w:sz w:val="18"/>
                <w:szCs w:val="18"/>
              </w:rPr>
              <w:t>ni</w:t>
            </w:r>
            <w:r w:rsidRPr="00F91796">
              <w:rPr>
                <w:rFonts w:ascii="Arial" w:eastAsia="Arial" w:hAnsi="Arial" w:cs="Arial"/>
                <w:spacing w:val="-1"/>
                <w:sz w:val="18"/>
                <w:szCs w:val="18"/>
              </w:rPr>
              <w:t>c</w:t>
            </w:r>
            <w:r w:rsidRPr="00F91796">
              <w:rPr>
                <w:rFonts w:ascii="Arial" w:eastAsia="Arial" w:hAnsi="Arial" w:cs="Arial"/>
                <w:spacing w:val="1"/>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ió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T</w:t>
            </w:r>
            <w:r w:rsidRPr="00F91796">
              <w:rPr>
                <w:rFonts w:ascii="Arial" w:eastAsia="Arial" w:hAnsi="Arial" w:cs="Arial"/>
                <w:spacing w:val="1"/>
                <w:sz w:val="18"/>
                <w:szCs w:val="18"/>
              </w:rPr>
              <w:t>e</w:t>
            </w:r>
            <w:r w:rsidRPr="00F91796">
              <w:rPr>
                <w:rFonts w:ascii="Arial" w:eastAsia="Arial" w:hAnsi="Arial" w:cs="Arial"/>
                <w:spacing w:val="-2"/>
                <w:sz w:val="18"/>
                <w:szCs w:val="18"/>
              </w:rPr>
              <w:t>l</w:t>
            </w:r>
            <w:r w:rsidRPr="00F91796">
              <w:rPr>
                <w:rFonts w:ascii="Arial" w:eastAsia="Arial" w:hAnsi="Arial" w:cs="Arial"/>
                <w:spacing w:val="1"/>
                <w:sz w:val="18"/>
                <w:szCs w:val="18"/>
              </w:rPr>
              <w:t>ec</w:t>
            </w:r>
            <w:r w:rsidRPr="00F91796">
              <w:rPr>
                <w:rFonts w:ascii="Arial" w:eastAsia="Arial" w:hAnsi="Arial" w:cs="Arial"/>
                <w:spacing w:val="-2"/>
                <w:sz w:val="18"/>
                <w:szCs w:val="18"/>
              </w:rPr>
              <w:t>o</w:t>
            </w:r>
            <w:r w:rsidRPr="00F91796">
              <w:rPr>
                <w:rFonts w:ascii="Arial" w:eastAsia="Arial" w:hAnsi="Arial" w:cs="Arial"/>
                <w:spacing w:val="1"/>
                <w:sz w:val="18"/>
                <w:szCs w:val="18"/>
              </w:rPr>
              <w:t>mun</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a</w:t>
            </w:r>
            <w:r w:rsidRPr="00F91796">
              <w:rPr>
                <w:rFonts w:ascii="Arial" w:eastAsia="Arial" w:hAnsi="Arial" w:cs="Arial"/>
                <w:spacing w:val="1"/>
                <w:sz w:val="18"/>
                <w:szCs w:val="18"/>
              </w:rPr>
              <w:t>ci</w:t>
            </w:r>
            <w:r w:rsidRPr="00F91796">
              <w:rPr>
                <w:rFonts w:ascii="Arial" w:eastAsia="Arial" w:hAnsi="Arial" w:cs="Arial"/>
                <w:spacing w:val="-2"/>
                <w:sz w:val="18"/>
                <w:szCs w:val="18"/>
              </w:rPr>
              <w:t>ó</w:t>
            </w:r>
            <w:r w:rsidRPr="00F91796">
              <w:rPr>
                <w:rFonts w:ascii="Arial" w:eastAsia="Arial" w:hAnsi="Arial" w:cs="Arial"/>
                <w:sz w:val="18"/>
                <w:szCs w:val="18"/>
              </w:rPr>
              <w:t>n</w:t>
            </w:r>
          </w:p>
        </w:tc>
        <w:tc>
          <w:tcPr>
            <w:tcW w:w="821" w:type="dxa"/>
            <w:gridSpan w:val="2"/>
            <w:tcBorders>
              <w:top w:val="single" w:sz="7" w:space="0" w:color="000000"/>
              <w:left w:val="single" w:sz="7" w:space="0" w:color="000000"/>
              <w:bottom w:val="single" w:sz="7" w:space="0" w:color="000000"/>
              <w:right w:val="single" w:sz="7" w:space="0" w:color="000000"/>
            </w:tcBorders>
          </w:tcPr>
          <w:p w14:paraId="1C81F377" w14:textId="77777777" w:rsidR="002B0869" w:rsidRPr="00F91796" w:rsidRDefault="002B0869" w:rsidP="00C229F8">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4065DB3F"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5E0BF8B5"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6783F626"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4C86F15C"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quip</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z w:val="18"/>
                <w:szCs w:val="18"/>
              </w:rPr>
              <w:t>Ge</w:t>
            </w:r>
            <w:r w:rsidRPr="00F91796">
              <w:rPr>
                <w:rFonts w:ascii="Arial" w:eastAsia="Arial" w:hAnsi="Arial" w:cs="Arial"/>
                <w:spacing w:val="1"/>
                <w:sz w:val="18"/>
                <w:szCs w:val="18"/>
              </w:rPr>
              <w:t>ne</w:t>
            </w:r>
            <w:r w:rsidRPr="00F91796">
              <w:rPr>
                <w:rFonts w:ascii="Arial" w:eastAsia="Arial" w:hAnsi="Arial" w:cs="Arial"/>
                <w:spacing w:val="-2"/>
                <w:sz w:val="18"/>
                <w:szCs w:val="18"/>
              </w:rPr>
              <w:t>r</w:t>
            </w:r>
            <w:r w:rsidRPr="00F91796">
              <w:rPr>
                <w:rFonts w:ascii="Arial" w:eastAsia="Arial" w:hAnsi="Arial" w:cs="Arial"/>
                <w:spacing w:val="1"/>
                <w:sz w:val="18"/>
                <w:szCs w:val="18"/>
              </w:rPr>
              <w:t>ac</w:t>
            </w:r>
            <w:r w:rsidRPr="00F91796">
              <w:rPr>
                <w:rFonts w:ascii="Arial" w:eastAsia="Arial" w:hAnsi="Arial" w:cs="Arial"/>
                <w:spacing w:val="-2"/>
                <w:sz w:val="18"/>
                <w:szCs w:val="18"/>
              </w:rPr>
              <w:t>i</w:t>
            </w:r>
            <w:r w:rsidRPr="00F91796">
              <w:rPr>
                <w:rFonts w:ascii="Arial" w:eastAsia="Arial" w:hAnsi="Arial" w:cs="Arial"/>
                <w:spacing w:val="1"/>
                <w:sz w:val="18"/>
                <w:szCs w:val="18"/>
              </w:rPr>
              <w:t>ó</w:t>
            </w:r>
            <w:r w:rsidRPr="00F91796">
              <w:rPr>
                <w:rFonts w:ascii="Arial" w:eastAsia="Arial" w:hAnsi="Arial" w:cs="Arial"/>
                <w:sz w:val="18"/>
                <w:szCs w:val="18"/>
              </w:rPr>
              <w:t>n</w:t>
            </w:r>
            <w:r w:rsidRPr="00F91796">
              <w:rPr>
                <w:rFonts w:ascii="Arial" w:eastAsia="Arial" w:hAnsi="Arial" w:cs="Arial"/>
                <w:spacing w:val="1"/>
                <w:sz w:val="18"/>
                <w:szCs w:val="18"/>
              </w:rPr>
              <w:t xml:space="preserve"> </w:t>
            </w:r>
            <w:r w:rsidRPr="00F91796">
              <w:rPr>
                <w:rFonts w:ascii="Arial" w:eastAsia="Arial" w:hAnsi="Arial" w:cs="Arial"/>
                <w:spacing w:val="-2"/>
                <w:sz w:val="18"/>
                <w:szCs w:val="18"/>
              </w:rPr>
              <w:t>E</w:t>
            </w:r>
            <w:r w:rsidRPr="00F91796">
              <w:rPr>
                <w:rFonts w:ascii="Arial" w:eastAsia="Arial" w:hAnsi="Arial" w:cs="Arial"/>
                <w:spacing w:val="1"/>
                <w:sz w:val="18"/>
                <w:szCs w:val="18"/>
              </w:rPr>
              <w:t>léc</w:t>
            </w:r>
            <w:r w:rsidRPr="00F91796">
              <w:rPr>
                <w:rFonts w:ascii="Arial" w:eastAsia="Arial" w:hAnsi="Arial" w:cs="Arial"/>
                <w:sz w:val="18"/>
                <w:szCs w:val="18"/>
              </w:rPr>
              <w:t>t</w:t>
            </w:r>
            <w:r w:rsidRPr="00F91796">
              <w:rPr>
                <w:rFonts w:ascii="Arial" w:eastAsia="Arial" w:hAnsi="Arial" w:cs="Arial"/>
                <w:spacing w:val="-2"/>
                <w:sz w:val="18"/>
                <w:szCs w:val="18"/>
              </w:rPr>
              <w:t>ri</w:t>
            </w:r>
            <w:r w:rsidRPr="00F91796">
              <w:rPr>
                <w:rFonts w:ascii="Arial" w:eastAsia="Arial" w:hAnsi="Arial" w:cs="Arial"/>
                <w:spacing w:val="1"/>
                <w:sz w:val="18"/>
                <w:szCs w:val="18"/>
              </w:rPr>
              <w:t>ca</w:t>
            </w:r>
            <w:r w:rsidRPr="00F91796">
              <w:rPr>
                <w:rFonts w:ascii="Arial" w:eastAsia="Arial" w:hAnsi="Arial" w:cs="Arial"/>
                <w:sz w:val="18"/>
                <w:szCs w:val="18"/>
              </w:rPr>
              <w:t>,</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2"/>
                <w:sz w:val="18"/>
                <w:szCs w:val="18"/>
              </w:rPr>
              <w:t>p</w:t>
            </w:r>
            <w:r w:rsidRPr="00F91796">
              <w:rPr>
                <w:rFonts w:ascii="Arial" w:eastAsia="Arial" w:hAnsi="Arial" w:cs="Arial"/>
                <w:spacing w:val="1"/>
                <w:sz w:val="18"/>
                <w:szCs w:val="18"/>
              </w:rPr>
              <w:t>a</w:t>
            </w:r>
            <w:r w:rsidRPr="00F91796">
              <w:rPr>
                <w:rFonts w:ascii="Arial" w:eastAsia="Arial" w:hAnsi="Arial" w:cs="Arial"/>
                <w:sz w:val="18"/>
                <w:szCs w:val="18"/>
              </w:rPr>
              <w:t>r</w:t>
            </w:r>
            <w:r w:rsidRPr="00F91796">
              <w:rPr>
                <w:rFonts w:ascii="Arial" w:eastAsia="Arial" w:hAnsi="Arial" w:cs="Arial"/>
                <w:spacing w:val="1"/>
                <w:sz w:val="18"/>
                <w:szCs w:val="18"/>
              </w:rPr>
              <w:t>a</w:t>
            </w:r>
            <w:r w:rsidRPr="00F91796">
              <w:rPr>
                <w:rFonts w:ascii="Arial" w:eastAsia="Arial" w:hAnsi="Arial" w:cs="Arial"/>
                <w:sz w:val="18"/>
                <w:szCs w:val="18"/>
              </w:rPr>
              <w:t>t</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1"/>
                <w:sz w:val="18"/>
                <w:szCs w:val="18"/>
              </w:rPr>
              <w:t>ce</w:t>
            </w:r>
            <w:r w:rsidRPr="00F91796">
              <w:rPr>
                <w:rFonts w:ascii="Arial" w:eastAsia="Arial" w:hAnsi="Arial" w:cs="Arial"/>
                <w:spacing w:val="-1"/>
                <w:sz w:val="18"/>
                <w:szCs w:val="18"/>
              </w:rPr>
              <w:t>s</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l</w:t>
            </w:r>
            <w:r w:rsidRPr="00F91796">
              <w:rPr>
                <w:rFonts w:ascii="Arial" w:eastAsia="Arial" w:hAnsi="Arial" w:cs="Arial"/>
                <w:spacing w:val="-2"/>
                <w:sz w:val="18"/>
                <w:szCs w:val="18"/>
              </w:rPr>
              <w:t>é</w:t>
            </w:r>
            <w:r w:rsidRPr="00F91796">
              <w:rPr>
                <w:rFonts w:ascii="Arial" w:eastAsia="Arial" w:hAnsi="Arial" w:cs="Arial"/>
                <w:spacing w:val="1"/>
                <w:sz w:val="18"/>
                <w:szCs w:val="18"/>
              </w:rPr>
              <w:t>c</w:t>
            </w:r>
            <w:r w:rsidRPr="00F91796">
              <w:rPr>
                <w:rFonts w:ascii="Arial" w:eastAsia="Arial" w:hAnsi="Arial" w:cs="Arial"/>
                <w:sz w:val="18"/>
                <w:szCs w:val="18"/>
              </w:rPr>
              <w:t>tr</w:t>
            </w:r>
            <w:r w:rsidRPr="00F91796">
              <w:rPr>
                <w:rFonts w:ascii="Arial" w:eastAsia="Arial" w:hAnsi="Arial" w:cs="Arial"/>
                <w:spacing w:val="-1"/>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FE6434A" w14:textId="77777777" w:rsidR="002B0869" w:rsidRPr="00F91796" w:rsidRDefault="002B0869" w:rsidP="00C229F8">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6FB06B29" w14:textId="77777777" w:rsidR="002B0869" w:rsidRPr="00F91796" w:rsidRDefault="002B0869" w:rsidP="00C229F8">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6D6539BD"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C51187D"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1E2539FF"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z w:val="18"/>
                <w:szCs w:val="18"/>
              </w:rPr>
              <w:t>Herr</w:t>
            </w:r>
            <w:r w:rsidRPr="00F91796">
              <w:rPr>
                <w:rFonts w:ascii="Arial" w:eastAsia="Arial" w:hAnsi="Arial" w:cs="Arial"/>
                <w:spacing w:val="1"/>
                <w:sz w:val="18"/>
                <w:szCs w:val="18"/>
              </w:rPr>
              <w:t>am</w:t>
            </w:r>
            <w:r w:rsidRPr="00F91796">
              <w:rPr>
                <w:rFonts w:ascii="Arial" w:eastAsia="Arial" w:hAnsi="Arial" w:cs="Arial"/>
                <w:spacing w:val="-2"/>
                <w:sz w:val="18"/>
                <w:szCs w:val="18"/>
              </w:rPr>
              <w:t>i</w:t>
            </w:r>
            <w:r w:rsidRPr="00F91796">
              <w:rPr>
                <w:rFonts w:ascii="Arial" w:eastAsia="Arial" w:hAnsi="Arial" w:cs="Arial"/>
                <w:spacing w:val="1"/>
                <w:sz w:val="18"/>
                <w:szCs w:val="18"/>
              </w:rPr>
              <w:t>en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áquina</w:t>
            </w:r>
            <w:r w:rsidRPr="00F91796">
              <w:rPr>
                <w:rFonts w:ascii="Arial" w:eastAsia="Arial" w:hAnsi="Arial" w:cs="Arial"/>
                <w:spacing w:val="4"/>
                <w:sz w:val="18"/>
                <w:szCs w:val="18"/>
              </w:rPr>
              <w:t>s</w:t>
            </w:r>
            <w:r w:rsidRPr="00F91796">
              <w:rPr>
                <w:rFonts w:ascii="Arial" w:eastAsia="Arial" w:hAnsi="Arial" w:cs="Arial"/>
                <w:sz w:val="18"/>
                <w:szCs w:val="18"/>
              </w:rPr>
              <w:t>-</w:t>
            </w:r>
            <w:r w:rsidRPr="00F91796">
              <w:rPr>
                <w:rFonts w:ascii="Arial" w:eastAsia="Arial" w:hAnsi="Arial" w:cs="Arial"/>
                <w:spacing w:val="-3"/>
                <w:sz w:val="18"/>
                <w:szCs w:val="18"/>
              </w:rPr>
              <w:t>H</w:t>
            </w:r>
            <w:r w:rsidRPr="00F91796">
              <w:rPr>
                <w:rFonts w:ascii="Arial" w:eastAsia="Arial" w:hAnsi="Arial" w:cs="Arial"/>
                <w:spacing w:val="1"/>
                <w:sz w:val="18"/>
                <w:szCs w:val="18"/>
              </w:rPr>
              <w:t>e</w:t>
            </w:r>
            <w:r w:rsidRPr="00F91796">
              <w:rPr>
                <w:rFonts w:ascii="Arial" w:eastAsia="Arial" w:hAnsi="Arial" w:cs="Arial"/>
                <w:spacing w:val="-2"/>
                <w:sz w:val="18"/>
                <w:szCs w:val="18"/>
              </w:rPr>
              <w:t>r</w:t>
            </w:r>
            <w:r w:rsidRPr="00F91796">
              <w:rPr>
                <w:rFonts w:ascii="Arial" w:eastAsia="Arial" w:hAnsi="Arial" w:cs="Arial"/>
                <w:sz w:val="18"/>
                <w:szCs w:val="18"/>
              </w:rPr>
              <w:t>r</w:t>
            </w:r>
            <w:r w:rsidRPr="00F91796">
              <w:rPr>
                <w:rFonts w:ascii="Arial" w:eastAsia="Arial" w:hAnsi="Arial" w:cs="Arial"/>
                <w:spacing w:val="1"/>
                <w:sz w:val="18"/>
                <w:szCs w:val="18"/>
              </w:rPr>
              <w:t>ami</w:t>
            </w:r>
            <w:r w:rsidRPr="00F91796">
              <w:rPr>
                <w:rFonts w:ascii="Arial" w:eastAsia="Arial" w:hAnsi="Arial" w:cs="Arial"/>
                <w:spacing w:val="-2"/>
                <w:sz w:val="18"/>
                <w:szCs w:val="18"/>
              </w:rPr>
              <w:t>e</w:t>
            </w:r>
            <w:r w:rsidRPr="00F91796">
              <w:rPr>
                <w:rFonts w:ascii="Arial" w:eastAsia="Arial" w:hAnsi="Arial" w:cs="Arial"/>
                <w:spacing w:val="1"/>
                <w:sz w:val="18"/>
                <w:szCs w:val="18"/>
              </w:rPr>
              <w:t>n</w:t>
            </w:r>
            <w:r w:rsidRPr="00F91796">
              <w:rPr>
                <w:rFonts w:ascii="Arial" w:eastAsia="Arial" w:hAnsi="Arial" w:cs="Arial"/>
                <w:sz w:val="18"/>
                <w:szCs w:val="18"/>
              </w:rPr>
              <w:t>ta</w:t>
            </w:r>
          </w:p>
        </w:tc>
        <w:tc>
          <w:tcPr>
            <w:tcW w:w="821" w:type="dxa"/>
            <w:gridSpan w:val="2"/>
            <w:tcBorders>
              <w:top w:val="single" w:sz="7" w:space="0" w:color="000000"/>
              <w:left w:val="single" w:sz="7" w:space="0" w:color="000000"/>
              <w:bottom w:val="single" w:sz="7" w:space="0" w:color="000000"/>
              <w:right w:val="single" w:sz="7" w:space="0" w:color="000000"/>
            </w:tcBorders>
          </w:tcPr>
          <w:p w14:paraId="152EA329" w14:textId="77777777" w:rsidR="002B0869" w:rsidRPr="00F91796" w:rsidRDefault="002B0869" w:rsidP="00C229F8">
            <w:pPr>
              <w:spacing w:before="12"/>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9362639"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0944481E"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F64EA1D"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6</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3D764E73"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E</w:t>
            </w:r>
            <w:r w:rsidRPr="00F91796">
              <w:rPr>
                <w:rFonts w:ascii="Arial" w:eastAsia="Arial" w:hAnsi="Arial" w:cs="Arial"/>
                <w:spacing w:val="1"/>
                <w:sz w:val="18"/>
                <w:szCs w:val="18"/>
              </w:rPr>
              <w:t>q</w:t>
            </w:r>
            <w:r w:rsidRPr="00F91796">
              <w:rPr>
                <w:rFonts w:ascii="Arial" w:eastAsia="Arial" w:hAnsi="Arial" w:cs="Arial"/>
                <w:spacing w:val="-2"/>
                <w:sz w:val="18"/>
                <w:szCs w:val="18"/>
              </w:rPr>
              <w:t>u</w:t>
            </w:r>
            <w:r w:rsidRPr="00F91796">
              <w:rPr>
                <w:rFonts w:ascii="Arial" w:eastAsia="Arial" w:hAnsi="Arial" w:cs="Arial"/>
                <w:spacing w:val="1"/>
                <w:sz w:val="18"/>
                <w:szCs w:val="18"/>
              </w:rPr>
              <w:t>ip</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7EAC6B8A" w14:textId="77777777" w:rsidR="002B0869" w:rsidRPr="00F91796" w:rsidRDefault="002B0869" w:rsidP="00C229F8">
            <w:pPr>
              <w:spacing w:before="15"/>
              <w:ind w:left="268" w:right="268"/>
              <w:jc w:val="center"/>
              <w:rPr>
                <w:rFonts w:ascii="Arial" w:eastAsia="Arial" w:hAnsi="Arial" w:cs="Arial"/>
                <w:sz w:val="18"/>
                <w:szCs w:val="18"/>
              </w:rPr>
            </w:pPr>
            <w:r w:rsidRPr="00F91796">
              <w:rPr>
                <w:rFonts w:ascii="Arial" w:eastAsia="Arial" w:hAnsi="Arial" w:cs="Arial"/>
                <w:spacing w:val="1"/>
                <w:sz w:val="18"/>
                <w:szCs w:val="18"/>
              </w:rPr>
              <w:t>10</w:t>
            </w:r>
          </w:p>
        </w:tc>
        <w:tc>
          <w:tcPr>
            <w:tcW w:w="1542" w:type="dxa"/>
            <w:gridSpan w:val="3"/>
            <w:tcBorders>
              <w:top w:val="single" w:sz="7" w:space="0" w:color="000000"/>
              <w:left w:val="single" w:sz="7" w:space="0" w:color="000000"/>
              <w:bottom w:val="single" w:sz="7" w:space="0" w:color="000000"/>
              <w:right w:val="single" w:sz="7" w:space="0" w:color="000000"/>
            </w:tcBorders>
          </w:tcPr>
          <w:p w14:paraId="37A67E33" w14:textId="77777777" w:rsidR="002B0869" w:rsidRPr="00F91796" w:rsidRDefault="002B0869" w:rsidP="00C229F8">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10</w:t>
            </w:r>
          </w:p>
        </w:tc>
      </w:tr>
      <w:tr w:rsidR="002B0869" w:rsidRPr="00F91796" w14:paraId="64CA4F36" w14:textId="77777777" w:rsidTr="00C229F8">
        <w:trPr>
          <w:trHeight w:hRule="exact" w:val="341"/>
        </w:trPr>
        <w:tc>
          <w:tcPr>
            <w:tcW w:w="8912" w:type="dxa"/>
            <w:gridSpan w:val="10"/>
            <w:tcBorders>
              <w:top w:val="single" w:sz="7" w:space="0" w:color="000000"/>
              <w:left w:val="single" w:sz="7" w:space="0" w:color="000000"/>
              <w:bottom w:val="single" w:sz="7" w:space="0" w:color="000000"/>
              <w:right w:val="single" w:sz="7" w:space="0" w:color="000000"/>
            </w:tcBorders>
          </w:tcPr>
          <w:p w14:paraId="1B8F555B" w14:textId="77777777" w:rsidR="002B0869" w:rsidRPr="00F91796" w:rsidRDefault="002B0869" w:rsidP="00C229F8"/>
        </w:tc>
      </w:tr>
      <w:tr w:rsidR="002B0869" w:rsidRPr="00F91796" w14:paraId="0DA1595A"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404DAB93"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b/>
                <w:spacing w:val="1"/>
                <w:sz w:val="18"/>
                <w:szCs w:val="18"/>
              </w:rPr>
              <w:t>1</w:t>
            </w:r>
            <w:r w:rsidRPr="00F91796">
              <w:rPr>
                <w:rFonts w:ascii="Arial" w:eastAsia="Arial" w:hAnsi="Arial" w:cs="Arial"/>
                <w:b/>
                <w:sz w:val="18"/>
                <w:szCs w:val="18"/>
              </w:rPr>
              <w:t>.</w:t>
            </w:r>
            <w:r w:rsidRPr="00F91796">
              <w:rPr>
                <w:rFonts w:ascii="Arial" w:eastAsia="Arial" w:hAnsi="Arial" w:cs="Arial"/>
                <w:b/>
                <w:spacing w:val="1"/>
                <w:sz w:val="18"/>
                <w:szCs w:val="18"/>
              </w:rPr>
              <w:t>2</w:t>
            </w:r>
            <w:r w:rsidRPr="00F91796">
              <w:rPr>
                <w:rFonts w:ascii="Arial" w:eastAsia="Arial" w:hAnsi="Arial" w:cs="Arial"/>
                <w:b/>
                <w:sz w:val="18"/>
                <w:szCs w:val="18"/>
              </w:rPr>
              <w:t>.</w:t>
            </w:r>
            <w:r w:rsidRPr="00F91796">
              <w:rPr>
                <w:rFonts w:ascii="Arial" w:eastAsia="Arial" w:hAnsi="Arial" w:cs="Arial"/>
                <w:b/>
                <w:spacing w:val="1"/>
                <w:sz w:val="18"/>
                <w:szCs w:val="18"/>
              </w:rPr>
              <w:t>4</w:t>
            </w:r>
            <w:r w:rsidRPr="00F91796">
              <w:rPr>
                <w:rFonts w:ascii="Arial" w:eastAsia="Arial" w:hAnsi="Arial" w:cs="Arial"/>
                <w:b/>
                <w:spacing w:val="-2"/>
                <w:sz w:val="18"/>
                <w:szCs w:val="18"/>
              </w:rPr>
              <w:t>.</w:t>
            </w:r>
            <w:r w:rsidRPr="00F91796">
              <w:rPr>
                <w:rFonts w:ascii="Arial" w:eastAsia="Arial" w:hAnsi="Arial" w:cs="Arial"/>
                <w:b/>
                <w:sz w:val="18"/>
                <w:szCs w:val="18"/>
              </w:rPr>
              <w:t>8</w:t>
            </w:r>
          </w:p>
        </w:tc>
        <w:tc>
          <w:tcPr>
            <w:tcW w:w="7930" w:type="dxa"/>
            <w:gridSpan w:val="8"/>
            <w:tcBorders>
              <w:top w:val="single" w:sz="7" w:space="0" w:color="000000"/>
              <w:left w:val="single" w:sz="7" w:space="0" w:color="000000"/>
              <w:bottom w:val="nil"/>
              <w:right w:val="single" w:sz="7" w:space="0" w:color="000000"/>
            </w:tcBorders>
          </w:tcPr>
          <w:p w14:paraId="7EBC01E3"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b/>
                <w:spacing w:val="-3"/>
                <w:sz w:val="18"/>
                <w:szCs w:val="18"/>
              </w:rPr>
              <w:t>A</w:t>
            </w:r>
            <w:r w:rsidRPr="00F91796">
              <w:rPr>
                <w:rFonts w:ascii="Arial" w:eastAsia="Arial" w:hAnsi="Arial" w:cs="Arial"/>
                <w:b/>
                <w:spacing w:val="1"/>
                <w:sz w:val="18"/>
                <w:szCs w:val="18"/>
              </w:rPr>
              <w:t>c</w:t>
            </w:r>
            <w:r w:rsidRPr="00F91796">
              <w:rPr>
                <w:rFonts w:ascii="Arial" w:eastAsia="Arial" w:hAnsi="Arial" w:cs="Arial"/>
                <w:b/>
                <w:sz w:val="18"/>
                <w:szCs w:val="18"/>
              </w:rPr>
              <w:t>ti</w:t>
            </w:r>
            <w:r w:rsidRPr="00F91796">
              <w:rPr>
                <w:rFonts w:ascii="Arial" w:eastAsia="Arial" w:hAnsi="Arial" w:cs="Arial"/>
                <w:b/>
                <w:spacing w:val="-1"/>
                <w:sz w:val="18"/>
                <w:szCs w:val="18"/>
              </w:rPr>
              <w:t>v</w:t>
            </w:r>
            <w:r w:rsidRPr="00F91796">
              <w:rPr>
                <w:rFonts w:ascii="Arial" w:eastAsia="Arial" w:hAnsi="Arial" w:cs="Arial"/>
                <w:b/>
                <w:sz w:val="18"/>
                <w:szCs w:val="18"/>
              </w:rPr>
              <w:t>os</w:t>
            </w:r>
            <w:r w:rsidRPr="00F91796">
              <w:rPr>
                <w:rFonts w:ascii="Arial" w:eastAsia="Arial" w:hAnsi="Arial" w:cs="Arial"/>
                <w:b/>
                <w:spacing w:val="1"/>
                <w:sz w:val="18"/>
                <w:szCs w:val="18"/>
              </w:rPr>
              <w:t xml:space="preserve"> </w:t>
            </w:r>
            <w:r w:rsidRPr="00F91796">
              <w:rPr>
                <w:rFonts w:ascii="Arial" w:eastAsia="Arial" w:hAnsi="Arial" w:cs="Arial"/>
                <w:b/>
                <w:sz w:val="18"/>
                <w:szCs w:val="18"/>
              </w:rPr>
              <w:t>Bi</w:t>
            </w:r>
            <w:r w:rsidRPr="00F91796">
              <w:rPr>
                <w:rFonts w:ascii="Arial" w:eastAsia="Arial" w:hAnsi="Arial" w:cs="Arial"/>
                <w:b/>
                <w:spacing w:val="1"/>
                <w:sz w:val="18"/>
                <w:szCs w:val="18"/>
              </w:rPr>
              <w:t>o</w:t>
            </w:r>
            <w:r w:rsidRPr="00F91796">
              <w:rPr>
                <w:rFonts w:ascii="Arial" w:eastAsia="Arial" w:hAnsi="Arial" w:cs="Arial"/>
                <w:b/>
                <w:sz w:val="18"/>
                <w:szCs w:val="18"/>
              </w:rPr>
              <w:t>l</w:t>
            </w:r>
            <w:r w:rsidRPr="00F91796">
              <w:rPr>
                <w:rFonts w:ascii="Arial" w:eastAsia="Arial" w:hAnsi="Arial" w:cs="Arial"/>
                <w:b/>
                <w:spacing w:val="1"/>
                <w:sz w:val="18"/>
                <w:szCs w:val="18"/>
              </w:rPr>
              <w:t>ó</w:t>
            </w:r>
            <w:r w:rsidRPr="00F91796">
              <w:rPr>
                <w:rFonts w:ascii="Arial" w:eastAsia="Arial" w:hAnsi="Arial" w:cs="Arial"/>
                <w:b/>
                <w:sz w:val="18"/>
                <w:szCs w:val="18"/>
              </w:rPr>
              <w:t>g</w:t>
            </w:r>
            <w:r w:rsidRPr="00F91796">
              <w:rPr>
                <w:rFonts w:ascii="Arial" w:eastAsia="Arial" w:hAnsi="Arial" w:cs="Arial"/>
                <w:b/>
                <w:spacing w:val="1"/>
                <w:sz w:val="18"/>
                <w:szCs w:val="18"/>
              </w:rPr>
              <w:t>ic</w:t>
            </w:r>
            <w:r w:rsidRPr="00F91796">
              <w:rPr>
                <w:rFonts w:ascii="Arial" w:eastAsia="Arial" w:hAnsi="Arial" w:cs="Arial"/>
                <w:b/>
                <w:sz w:val="18"/>
                <w:szCs w:val="18"/>
              </w:rPr>
              <w:t>os</w:t>
            </w:r>
          </w:p>
        </w:tc>
      </w:tr>
      <w:tr w:rsidR="002B0869" w:rsidRPr="00F91796" w14:paraId="6BD269FE"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01ED9D27"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.1</w:t>
            </w:r>
          </w:p>
        </w:tc>
        <w:tc>
          <w:tcPr>
            <w:tcW w:w="5567" w:type="dxa"/>
            <w:gridSpan w:val="3"/>
            <w:tcBorders>
              <w:top w:val="single" w:sz="7" w:space="0" w:color="000000"/>
              <w:left w:val="single" w:sz="7" w:space="0" w:color="000000"/>
              <w:bottom w:val="single" w:sz="7" w:space="0" w:color="000000"/>
              <w:right w:val="single" w:sz="7" w:space="0" w:color="000000"/>
            </w:tcBorders>
          </w:tcPr>
          <w:p w14:paraId="13B29146"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z w:val="18"/>
                <w:szCs w:val="18"/>
              </w:rPr>
              <w:t>B</w:t>
            </w:r>
            <w:r w:rsidRPr="00F91796">
              <w:rPr>
                <w:rFonts w:ascii="Arial" w:eastAsia="Arial" w:hAnsi="Arial" w:cs="Arial"/>
                <w:spacing w:val="1"/>
                <w:sz w:val="18"/>
                <w:szCs w:val="18"/>
              </w:rPr>
              <w:t>o</w:t>
            </w:r>
            <w:r w:rsidRPr="00F91796">
              <w:rPr>
                <w:rFonts w:ascii="Arial" w:eastAsia="Arial" w:hAnsi="Arial" w:cs="Arial"/>
                <w:spacing w:val="-1"/>
                <w:sz w:val="18"/>
                <w:szCs w:val="18"/>
              </w:rPr>
              <w:t>v</w:t>
            </w:r>
            <w:r w:rsidRPr="00F91796">
              <w:rPr>
                <w:rFonts w:ascii="Arial" w:eastAsia="Arial" w:hAnsi="Arial" w:cs="Arial"/>
                <w:spacing w:val="1"/>
                <w:sz w:val="18"/>
                <w:szCs w:val="18"/>
              </w:rPr>
              <w:t>ino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447BF56F" w14:textId="77777777" w:rsidR="002B0869" w:rsidRPr="00F91796" w:rsidRDefault="002B0869" w:rsidP="00C229F8">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2838D59"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7F6F4B35"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02392D3D"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.2</w:t>
            </w:r>
          </w:p>
        </w:tc>
        <w:tc>
          <w:tcPr>
            <w:tcW w:w="5567" w:type="dxa"/>
            <w:gridSpan w:val="3"/>
            <w:tcBorders>
              <w:top w:val="single" w:sz="7" w:space="0" w:color="000000"/>
              <w:left w:val="single" w:sz="7" w:space="0" w:color="000000"/>
              <w:bottom w:val="single" w:sz="7" w:space="0" w:color="000000"/>
              <w:right w:val="single" w:sz="7" w:space="0" w:color="000000"/>
            </w:tcBorders>
          </w:tcPr>
          <w:p w14:paraId="6689294A"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o</w:t>
            </w:r>
            <w:r w:rsidRPr="00F91796">
              <w:rPr>
                <w:rFonts w:ascii="Arial" w:eastAsia="Arial" w:hAnsi="Arial" w:cs="Arial"/>
                <w:sz w:val="18"/>
                <w:szCs w:val="18"/>
              </w:rPr>
              <w:t>r</w:t>
            </w:r>
            <w:r w:rsidRPr="00F91796">
              <w:rPr>
                <w:rFonts w:ascii="Arial" w:eastAsia="Arial" w:hAnsi="Arial" w:cs="Arial"/>
                <w:spacing w:val="1"/>
                <w:sz w:val="18"/>
                <w:szCs w:val="18"/>
              </w:rPr>
              <w:t>ci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3701FB90" w14:textId="77777777" w:rsidR="002B0869" w:rsidRPr="00F91796" w:rsidRDefault="002B0869" w:rsidP="00C229F8">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21CA192" w14:textId="77777777" w:rsidR="002B0869" w:rsidRPr="00F91796" w:rsidRDefault="002B0869" w:rsidP="00C229F8">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059FC410"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BA5230B"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.3</w:t>
            </w:r>
          </w:p>
        </w:tc>
        <w:tc>
          <w:tcPr>
            <w:tcW w:w="5567" w:type="dxa"/>
            <w:gridSpan w:val="3"/>
            <w:tcBorders>
              <w:top w:val="single" w:sz="7" w:space="0" w:color="000000"/>
              <w:left w:val="single" w:sz="7" w:space="0" w:color="000000"/>
              <w:bottom w:val="single" w:sz="7" w:space="0" w:color="000000"/>
              <w:right w:val="single" w:sz="7" w:space="0" w:color="000000"/>
            </w:tcBorders>
          </w:tcPr>
          <w:p w14:paraId="393E4153"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z w:val="18"/>
                <w:szCs w:val="18"/>
              </w:rPr>
              <w:t>A</w:t>
            </w:r>
            <w:r w:rsidRPr="00F91796">
              <w:rPr>
                <w:rFonts w:ascii="Arial" w:eastAsia="Arial" w:hAnsi="Arial" w:cs="Arial"/>
                <w:spacing w:val="-1"/>
                <w:sz w:val="18"/>
                <w:szCs w:val="18"/>
              </w:rPr>
              <w:t>v</w:t>
            </w:r>
            <w:r w:rsidRPr="00F91796">
              <w:rPr>
                <w:rFonts w:ascii="Arial" w:eastAsia="Arial" w:hAnsi="Arial" w:cs="Arial"/>
                <w:spacing w:val="1"/>
                <w:sz w:val="18"/>
                <w:szCs w:val="18"/>
              </w:rPr>
              <w:t>e</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245CEF63" w14:textId="77777777" w:rsidR="002B0869" w:rsidRPr="00F91796" w:rsidRDefault="002B0869" w:rsidP="00C229F8">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1C586177"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04B329B5"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5D314545"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.4</w:t>
            </w:r>
          </w:p>
        </w:tc>
        <w:tc>
          <w:tcPr>
            <w:tcW w:w="5567" w:type="dxa"/>
            <w:gridSpan w:val="3"/>
            <w:tcBorders>
              <w:top w:val="single" w:sz="7" w:space="0" w:color="000000"/>
              <w:left w:val="single" w:sz="7" w:space="0" w:color="000000"/>
              <w:bottom w:val="single" w:sz="7" w:space="0" w:color="000000"/>
              <w:right w:val="single" w:sz="7" w:space="0" w:color="000000"/>
            </w:tcBorders>
          </w:tcPr>
          <w:p w14:paraId="463B4F64"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Ov</w:t>
            </w:r>
            <w:r w:rsidRPr="00F91796">
              <w:rPr>
                <w:rFonts w:ascii="Arial" w:eastAsia="Arial" w:hAnsi="Arial" w:cs="Arial"/>
                <w:spacing w:val="1"/>
                <w:sz w:val="18"/>
                <w:szCs w:val="18"/>
              </w:rPr>
              <w:t>ino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C</w:t>
            </w:r>
            <w:r w:rsidRPr="00F91796">
              <w:rPr>
                <w:rFonts w:ascii="Arial" w:eastAsia="Arial" w:hAnsi="Arial" w:cs="Arial"/>
                <w:spacing w:val="1"/>
                <w:sz w:val="18"/>
                <w:szCs w:val="18"/>
              </w:rPr>
              <w:t>ap</w:t>
            </w:r>
            <w:r w:rsidRPr="00F91796">
              <w:rPr>
                <w:rFonts w:ascii="Arial" w:eastAsia="Arial" w:hAnsi="Arial" w:cs="Arial"/>
                <w:sz w:val="18"/>
                <w:szCs w:val="18"/>
              </w:rPr>
              <w:t>r</w:t>
            </w:r>
            <w:r w:rsidRPr="00F91796">
              <w:rPr>
                <w:rFonts w:ascii="Arial" w:eastAsia="Arial" w:hAnsi="Arial" w:cs="Arial"/>
                <w:spacing w:val="1"/>
                <w:sz w:val="18"/>
                <w:szCs w:val="18"/>
              </w:rPr>
              <w:t>i</w:t>
            </w:r>
            <w:r w:rsidRPr="00F91796">
              <w:rPr>
                <w:rFonts w:ascii="Arial" w:eastAsia="Arial" w:hAnsi="Arial" w:cs="Arial"/>
                <w:spacing w:val="-2"/>
                <w:sz w:val="18"/>
                <w:szCs w:val="18"/>
              </w:rPr>
              <w:t>n</w:t>
            </w:r>
            <w:r w:rsidRPr="00F91796">
              <w:rPr>
                <w:rFonts w:ascii="Arial" w:eastAsia="Arial" w:hAnsi="Arial" w:cs="Arial"/>
                <w:spacing w:val="1"/>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6C619BAC" w14:textId="77777777" w:rsidR="002B0869" w:rsidRPr="00F91796" w:rsidRDefault="002B0869" w:rsidP="00C229F8">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779E0859" w14:textId="77777777" w:rsidR="002B0869" w:rsidRPr="00F91796" w:rsidRDefault="002B0869" w:rsidP="00C229F8">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0AEE8517"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6853C377"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.5</w:t>
            </w:r>
          </w:p>
        </w:tc>
        <w:tc>
          <w:tcPr>
            <w:tcW w:w="5567" w:type="dxa"/>
            <w:gridSpan w:val="3"/>
            <w:tcBorders>
              <w:top w:val="single" w:sz="7" w:space="0" w:color="000000"/>
              <w:left w:val="single" w:sz="7" w:space="0" w:color="000000"/>
              <w:bottom w:val="single" w:sz="7" w:space="0" w:color="000000"/>
              <w:right w:val="single" w:sz="7" w:space="0" w:color="000000"/>
            </w:tcBorders>
          </w:tcPr>
          <w:p w14:paraId="707EADB4"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z w:val="18"/>
                <w:szCs w:val="18"/>
              </w:rPr>
              <w:t>P</w:t>
            </w:r>
            <w:r w:rsidRPr="00F91796">
              <w:rPr>
                <w:rFonts w:ascii="Arial" w:eastAsia="Arial" w:hAnsi="Arial" w:cs="Arial"/>
                <w:spacing w:val="1"/>
                <w:sz w:val="18"/>
                <w:szCs w:val="18"/>
              </w:rPr>
              <w:t>ec</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cu</w:t>
            </w:r>
            <w:r w:rsidRPr="00F91796">
              <w:rPr>
                <w:rFonts w:ascii="Arial" w:eastAsia="Arial" w:hAnsi="Arial" w:cs="Arial"/>
                <w:spacing w:val="-2"/>
                <w:sz w:val="18"/>
                <w:szCs w:val="18"/>
              </w:rPr>
              <w:t>i</w:t>
            </w:r>
            <w:r w:rsidRPr="00F91796">
              <w:rPr>
                <w:rFonts w:ascii="Arial" w:eastAsia="Arial" w:hAnsi="Arial" w:cs="Arial"/>
                <w:spacing w:val="1"/>
                <w:sz w:val="18"/>
                <w:szCs w:val="18"/>
              </w:rPr>
              <w:t>c</w:t>
            </w:r>
            <w:r w:rsidRPr="00F91796">
              <w:rPr>
                <w:rFonts w:ascii="Arial" w:eastAsia="Arial" w:hAnsi="Arial" w:cs="Arial"/>
                <w:spacing w:val="-2"/>
                <w:sz w:val="18"/>
                <w:szCs w:val="18"/>
              </w:rPr>
              <w:t>u</w:t>
            </w:r>
            <w:r w:rsidRPr="00F91796">
              <w:rPr>
                <w:rFonts w:ascii="Arial" w:eastAsia="Arial" w:hAnsi="Arial" w:cs="Arial"/>
                <w:spacing w:val="1"/>
                <w:sz w:val="18"/>
                <w:szCs w:val="18"/>
              </w:rPr>
              <w:t>l</w:t>
            </w:r>
            <w:r w:rsidRPr="00F91796">
              <w:rPr>
                <w:rFonts w:ascii="Arial" w:eastAsia="Arial" w:hAnsi="Arial" w:cs="Arial"/>
                <w:sz w:val="18"/>
                <w:szCs w:val="18"/>
              </w:rPr>
              <w:t>t</w:t>
            </w:r>
            <w:r w:rsidRPr="00F91796">
              <w:rPr>
                <w:rFonts w:ascii="Arial" w:eastAsia="Arial" w:hAnsi="Arial" w:cs="Arial"/>
                <w:spacing w:val="1"/>
                <w:sz w:val="18"/>
                <w:szCs w:val="18"/>
              </w:rPr>
              <w:t>u</w:t>
            </w:r>
            <w:r w:rsidRPr="00F91796">
              <w:rPr>
                <w:rFonts w:ascii="Arial" w:eastAsia="Arial" w:hAnsi="Arial" w:cs="Arial"/>
                <w:sz w:val="18"/>
                <w:szCs w:val="18"/>
              </w:rPr>
              <w:t>ra</w:t>
            </w:r>
          </w:p>
        </w:tc>
        <w:tc>
          <w:tcPr>
            <w:tcW w:w="821" w:type="dxa"/>
            <w:gridSpan w:val="2"/>
            <w:tcBorders>
              <w:top w:val="single" w:sz="7" w:space="0" w:color="000000"/>
              <w:left w:val="single" w:sz="7" w:space="0" w:color="000000"/>
              <w:bottom w:val="single" w:sz="7" w:space="0" w:color="000000"/>
              <w:right w:val="single" w:sz="7" w:space="0" w:color="000000"/>
            </w:tcBorders>
          </w:tcPr>
          <w:p w14:paraId="46DACDCC" w14:textId="77777777" w:rsidR="002B0869" w:rsidRPr="00F91796" w:rsidRDefault="002B0869" w:rsidP="00C229F8">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5315EB3E"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0C09E0F4"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7B74757B"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.6</w:t>
            </w:r>
          </w:p>
        </w:tc>
        <w:tc>
          <w:tcPr>
            <w:tcW w:w="5567" w:type="dxa"/>
            <w:gridSpan w:val="3"/>
            <w:tcBorders>
              <w:top w:val="single" w:sz="7" w:space="0" w:color="000000"/>
              <w:left w:val="single" w:sz="7" w:space="0" w:color="000000"/>
              <w:bottom w:val="single" w:sz="7" w:space="0" w:color="000000"/>
              <w:right w:val="single" w:sz="7" w:space="0" w:color="000000"/>
            </w:tcBorders>
          </w:tcPr>
          <w:p w14:paraId="3DCBDD61"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quin</w:t>
            </w:r>
            <w:r w:rsidRPr="00F91796">
              <w:rPr>
                <w:rFonts w:ascii="Arial" w:eastAsia="Arial" w:hAnsi="Arial" w:cs="Arial"/>
                <w:spacing w:val="-2"/>
                <w:sz w:val="18"/>
                <w:szCs w:val="18"/>
              </w:rPr>
              <w:t>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50F8A914" w14:textId="77777777" w:rsidR="002B0869" w:rsidRPr="00F91796" w:rsidRDefault="002B0869" w:rsidP="00C229F8">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E7B521C" w14:textId="77777777" w:rsidR="002B0869" w:rsidRPr="00F91796" w:rsidRDefault="002B0869" w:rsidP="00C229F8">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rsidRPr="00F91796" w14:paraId="459E497E" w14:textId="77777777" w:rsidTr="00C229F8">
        <w:trPr>
          <w:trHeight w:hRule="exact" w:val="341"/>
        </w:trPr>
        <w:tc>
          <w:tcPr>
            <w:tcW w:w="982" w:type="dxa"/>
            <w:gridSpan w:val="2"/>
            <w:tcBorders>
              <w:top w:val="single" w:sz="7" w:space="0" w:color="000000"/>
              <w:left w:val="single" w:sz="7" w:space="0" w:color="000000"/>
              <w:bottom w:val="single" w:sz="7" w:space="0" w:color="000000"/>
              <w:right w:val="single" w:sz="7" w:space="0" w:color="000000"/>
            </w:tcBorders>
          </w:tcPr>
          <w:p w14:paraId="7207AFF4"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.7</w:t>
            </w:r>
          </w:p>
        </w:tc>
        <w:tc>
          <w:tcPr>
            <w:tcW w:w="5567" w:type="dxa"/>
            <w:gridSpan w:val="3"/>
            <w:tcBorders>
              <w:top w:val="single" w:sz="7" w:space="0" w:color="000000"/>
              <w:left w:val="single" w:sz="7" w:space="0" w:color="000000"/>
              <w:bottom w:val="single" w:sz="7" w:space="0" w:color="000000"/>
              <w:right w:val="single" w:sz="7" w:space="0" w:color="000000"/>
            </w:tcBorders>
          </w:tcPr>
          <w:p w14:paraId="2BF61023"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z w:val="18"/>
                <w:szCs w:val="18"/>
              </w:rPr>
              <w:t>E</w:t>
            </w:r>
            <w:r w:rsidRPr="00F91796">
              <w:rPr>
                <w:rFonts w:ascii="Arial" w:eastAsia="Arial" w:hAnsi="Arial" w:cs="Arial"/>
                <w:spacing w:val="1"/>
                <w:sz w:val="18"/>
                <w:szCs w:val="18"/>
              </w:rPr>
              <w:t>sp</w:t>
            </w:r>
            <w:r w:rsidRPr="00F91796">
              <w:rPr>
                <w:rFonts w:ascii="Arial" w:eastAsia="Arial" w:hAnsi="Arial" w:cs="Arial"/>
                <w:spacing w:val="-2"/>
                <w:sz w:val="18"/>
                <w:szCs w:val="18"/>
              </w:rPr>
              <w:t>e</w:t>
            </w:r>
            <w:r w:rsidRPr="00F91796">
              <w:rPr>
                <w:rFonts w:ascii="Arial" w:eastAsia="Arial" w:hAnsi="Arial" w:cs="Arial"/>
                <w:spacing w:val="1"/>
                <w:sz w:val="18"/>
                <w:szCs w:val="18"/>
              </w:rPr>
              <w:t>ci</w:t>
            </w:r>
            <w:r w:rsidRPr="00F91796">
              <w:rPr>
                <w:rFonts w:ascii="Arial" w:eastAsia="Arial" w:hAnsi="Arial" w:cs="Arial"/>
                <w:spacing w:val="-2"/>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pacing w:val="-3"/>
                <w:sz w:val="18"/>
                <w:szCs w:val="18"/>
              </w:rPr>
              <w:t>M</w:t>
            </w:r>
            <w:r w:rsidRPr="00F91796">
              <w:rPr>
                <w:rFonts w:ascii="Arial" w:eastAsia="Arial" w:hAnsi="Arial" w:cs="Arial"/>
                <w:spacing w:val="1"/>
                <w:sz w:val="18"/>
                <w:szCs w:val="18"/>
              </w:rPr>
              <w:t>eno</w:t>
            </w:r>
            <w:r w:rsidRPr="00F91796">
              <w:rPr>
                <w:rFonts w:ascii="Arial" w:eastAsia="Arial" w:hAnsi="Arial" w:cs="Arial"/>
                <w:sz w:val="18"/>
                <w:szCs w:val="18"/>
              </w:rPr>
              <w:t>r</w:t>
            </w:r>
            <w:r w:rsidRPr="00F91796">
              <w:rPr>
                <w:rFonts w:ascii="Arial" w:eastAsia="Arial" w:hAnsi="Arial" w:cs="Arial"/>
                <w:spacing w:val="1"/>
                <w:sz w:val="18"/>
                <w:szCs w:val="18"/>
              </w:rPr>
              <w:t>e</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d</w:t>
            </w:r>
            <w:r w:rsidRPr="00F91796">
              <w:rPr>
                <w:rFonts w:ascii="Arial" w:eastAsia="Arial" w:hAnsi="Arial" w:cs="Arial"/>
                <w:sz w:val="18"/>
                <w:szCs w:val="18"/>
              </w:rPr>
              <w:t>e</w:t>
            </w:r>
            <w:r w:rsidRPr="00F91796">
              <w:rPr>
                <w:rFonts w:ascii="Arial" w:eastAsia="Arial" w:hAnsi="Arial" w:cs="Arial"/>
                <w:spacing w:val="-1"/>
                <w:sz w:val="18"/>
                <w:szCs w:val="18"/>
              </w:rPr>
              <w:t xml:space="preserve"> </w:t>
            </w:r>
            <w:r w:rsidRPr="00F91796">
              <w:rPr>
                <w:rFonts w:ascii="Arial" w:eastAsia="Arial" w:hAnsi="Arial" w:cs="Arial"/>
                <w:spacing w:val="1"/>
                <w:sz w:val="18"/>
                <w:szCs w:val="18"/>
              </w:rPr>
              <w:t>Zo</w:t>
            </w:r>
            <w:r w:rsidRPr="00F91796">
              <w:rPr>
                <w:rFonts w:ascii="Arial" w:eastAsia="Arial" w:hAnsi="Arial" w:cs="Arial"/>
                <w:spacing w:val="-2"/>
                <w:sz w:val="18"/>
                <w:szCs w:val="18"/>
              </w:rPr>
              <w:t>o</w:t>
            </w:r>
            <w:r w:rsidRPr="00F91796">
              <w:rPr>
                <w:rFonts w:ascii="Arial" w:eastAsia="Arial" w:hAnsi="Arial" w:cs="Arial"/>
                <w:spacing w:val="1"/>
                <w:sz w:val="18"/>
                <w:szCs w:val="18"/>
              </w:rPr>
              <w:t>l</w:t>
            </w:r>
            <w:r w:rsidRPr="00F91796">
              <w:rPr>
                <w:rFonts w:ascii="Arial" w:eastAsia="Arial" w:hAnsi="Arial" w:cs="Arial"/>
                <w:spacing w:val="-2"/>
                <w:sz w:val="18"/>
                <w:szCs w:val="18"/>
              </w:rPr>
              <w:t>ó</w:t>
            </w:r>
            <w:r w:rsidRPr="00F91796">
              <w:rPr>
                <w:rFonts w:ascii="Arial" w:eastAsia="Arial" w:hAnsi="Arial" w:cs="Arial"/>
                <w:spacing w:val="1"/>
                <w:sz w:val="18"/>
                <w:szCs w:val="18"/>
              </w:rPr>
              <w:t>gic</w:t>
            </w:r>
            <w:r w:rsidRPr="00F91796">
              <w:rPr>
                <w:rFonts w:ascii="Arial" w:eastAsia="Arial" w:hAnsi="Arial" w:cs="Arial"/>
                <w:sz w:val="18"/>
                <w:szCs w:val="18"/>
              </w:rPr>
              <w:t>o</w:t>
            </w:r>
          </w:p>
        </w:tc>
        <w:tc>
          <w:tcPr>
            <w:tcW w:w="821" w:type="dxa"/>
            <w:gridSpan w:val="2"/>
            <w:tcBorders>
              <w:top w:val="single" w:sz="7" w:space="0" w:color="000000"/>
              <w:left w:val="single" w:sz="7" w:space="0" w:color="000000"/>
              <w:bottom w:val="single" w:sz="7" w:space="0" w:color="000000"/>
              <w:right w:val="single" w:sz="7" w:space="0" w:color="000000"/>
            </w:tcBorders>
          </w:tcPr>
          <w:p w14:paraId="19D5E928" w14:textId="77777777" w:rsidR="002B0869" w:rsidRPr="00F91796" w:rsidRDefault="002B0869" w:rsidP="00C229F8">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3E5E6039" w14:textId="77777777" w:rsidR="002B0869" w:rsidRPr="00F91796"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w:t>
            </w:r>
            <w:r w:rsidRPr="00F91796">
              <w:rPr>
                <w:rFonts w:ascii="Arial" w:eastAsia="Arial" w:hAnsi="Arial" w:cs="Arial"/>
                <w:sz w:val="18"/>
                <w:szCs w:val="18"/>
              </w:rPr>
              <w:t>0</w:t>
            </w:r>
          </w:p>
        </w:tc>
      </w:tr>
      <w:tr w:rsidR="002B0869" w:rsidRPr="00F91796" w14:paraId="58BD7A70"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647637FE" w14:textId="77777777" w:rsidR="002B0869" w:rsidRPr="00F91796" w:rsidRDefault="002B0869" w:rsidP="00C229F8">
            <w:pPr>
              <w:spacing w:before="15"/>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.8</w:t>
            </w:r>
          </w:p>
        </w:tc>
        <w:tc>
          <w:tcPr>
            <w:tcW w:w="5567" w:type="dxa"/>
            <w:gridSpan w:val="3"/>
            <w:tcBorders>
              <w:top w:val="single" w:sz="7" w:space="0" w:color="000000"/>
              <w:left w:val="single" w:sz="7" w:space="0" w:color="000000"/>
              <w:bottom w:val="single" w:sz="7" w:space="0" w:color="000000"/>
              <w:right w:val="single" w:sz="7" w:space="0" w:color="000000"/>
            </w:tcBorders>
          </w:tcPr>
          <w:p w14:paraId="264F0795" w14:textId="77777777" w:rsidR="002B0869" w:rsidRPr="00F91796" w:rsidRDefault="002B0869" w:rsidP="00C229F8">
            <w:pPr>
              <w:spacing w:before="15"/>
              <w:ind w:left="64"/>
              <w:rPr>
                <w:rFonts w:ascii="Arial" w:eastAsia="Arial" w:hAnsi="Arial" w:cs="Arial"/>
                <w:sz w:val="18"/>
                <w:szCs w:val="18"/>
              </w:rPr>
            </w:pPr>
            <w:proofErr w:type="spellStart"/>
            <w:r w:rsidRPr="00F91796">
              <w:rPr>
                <w:rFonts w:ascii="Arial" w:eastAsia="Arial" w:hAnsi="Arial" w:cs="Arial"/>
                <w:sz w:val="18"/>
                <w:szCs w:val="18"/>
              </w:rPr>
              <w:t>Ar</w:t>
            </w:r>
            <w:r w:rsidRPr="00F91796">
              <w:rPr>
                <w:rFonts w:ascii="Arial" w:eastAsia="Arial" w:hAnsi="Arial" w:cs="Arial"/>
                <w:spacing w:val="1"/>
                <w:sz w:val="18"/>
                <w:szCs w:val="18"/>
              </w:rPr>
              <w:t>bol</w:t>
            </w:r>
            <w:r w:rsidRPr="00F91796">
              <w:rPr>
                <w:rFonts w:ascii="Arial" w:eastAsia="Arial" w:hAnsi="Arial" w:cs="Arial"/>
                <w:spacing w:val="-2"/>
                <w:sz w:val="18"/>
                <w:szCs w:val="18"/>
              </w:rPr>
              <w:t>e</w:t>
            </w:r>
            <w:r w:rsidRPr="00F91796">
              <w:rPr>
                <w:rFonts w:ascii="Arial" w:eastAsia="Arial" w:hAnsi="Arial" w:cs="Arial"/>
                <w:sz w:val="18"/>
                <w:szCs w:val="18"/>
              </w:rPr>
              <w:t>s</w:t>
            </w:r>
            <w:proofErr w:type="spellEnd"/>
            <w:r w:rsidRPr="00F91796">
              <w:rPr>
                <w:rFonts w:ascii="Arial" w:eastAsia="Arial" w:hAnsi="Arial" w:cs="Arial"/>
                <w:spacing w:val="1"/>
                <w:sz w:val="18"/>
                <w:szCs w:val="18"/>
              </w:rPr>
              <w:t xml:space="preserve"> </w:t>
            </w:r>
            <w:r w:rsidRPr="00F91796">
              <w:rPr>
                <w:rFonts w:ascii="Arial" w:eastAsia="Arial" w:hAnsi="Arial" w:cs="Arial"/>
                <w:sz w:val="18"/>
                <w:szCs w:val="18"/>
              </w:rPr>
              <w:t>y</w:t>
            </w:r>
            <w:r w:rsidRPr="00F91796">
              <w:rPr>
                <w:rFonts w:ascii="Arial" w:eastAsia="Arial" w:hAnsi="Arial" w:cs="Arial"/>
                <w:spacing w:val="-1"/>
                <w:sz w:val="18"/>
                <w:szCs w:val="18"/>
              </w:rPr>
              <w:t xml:space="preserve"> </w:t>
            </w:r>
            <w:r w:rsidRPr="00F91796">
              <w:rPr>
                <w:rFonts w:ascii="Arial" w:eastAsia="Arial" w:hAnsi="Arial" w:cs="Arial"/>
                <w:sz w:val="18"/>
                <w:szCs w:val="18"/>
              </w:rPr>
              <w:t>P</w:t>
            </w:r>
            <w:r w:rsidRPr="00F91796">
              <w:rPr>
                <w:rFonts w:ascii="Arial" w:eastAsia="Arial" w:hAnsi="Arial" w:cs="Arial"/>
                <w:spacing w:val="1"/>
                <w:sz w:val="18"/>
                <w:szCs w:val="18"/>
              </w:rPr>
              <w:t>la</w:t>
            </w:r>
            <w:r w:rsidRPr="00F91796">
              <w:rPr>
                <w:rFonts w:ascii="Arial" w:eastAsia="Arial" w:hAnsi="Arial" w:cs="Arial"/>
                <w:spacing w:val="-2"/>
                <w:sz w:val="18"/>
                <w:szCs w:val="18"/>
              </w:rPr>
              <w:t>n</w:t>
            </w:r>
            <w:r w:rsidRPr="00F91796">
              <w:rPr>
                <w:rFonts w:ascii="Arial" w:eastAsia="Arial" w:hAnsi="Arial" w:cs="Arial"/>
                <w:sz w:val="18"/>
                <w:szCs w:val="18"/>
              </w:rPr>
              <w:t>t</w:t>
            </w:r>
            <w:r w:rsidRPr="00F91796">
              <w:rPr>
                <w:rFonts w:ascii="Arial" w:eastAsia="Arial" w:hAnsi="Arial" w:cs="Arial"/>
                <w:spacing w:val="1"/>
                <w:sz w:val="18"/>
                <w:szCs w:val="18"/>
              </w:rPr>
              <w:t>a</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40E29FB8" w14:textId="77777777" w:rsidR="002B0869" w:rsidRPr="00F91796" w:rsidRDefault="002B0869" w:rsidP="00C229F8">
            <w:pPr>
              <w:spacing w:before="15"/>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51161F59" w14:textId="77777777" w:rsidR="002B0869" w:rsidRPr="00F91796" w:rsidRDefault="002B0869" w:rsidP="00C229F8">
            <w:pPr>
              <w:spacing w:before="15"/>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r w:rsidR="002B0869" w14:paraId="648AF250" w14:textId="77777777" w:rsidTr="00C229F8">
        <w:trPr>
          <w:trHeight w:hRule="exact" w:val="343"/>
        </w:trPr>
        <w:tc>
          <w:tcPr>
            <w:tcW w:w="982" w:type="dxa"/>
            <w:gridSpan w:val="2"/>
            <w:tcBorders>
              <w:top w:val="single" w:sz="7" w:space="0" w:color="000000"/>
              <w:left w:val="single" w:sz="7" w:space="0" w:color="000000"/>
              <w:bottom w:val="single" w:sz="7" w:space="0" w:color="000000"/>
              <w:right w:val="single" w:sz="7" w:space="0" w:color="000000"/>
            </w:tcBorders>
          </w:tcPr>
          <w:p w14:paraId="780F041C"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1</w:t>
            </w:r>
            <w:r w:rsidRPr="00F91796">
              <w:rPr>
                <w:rFonts w:ascii="Arial" w:eastAsia="Arial" w:hAnsi="Arial" w:cs="Arial"/>
                <w:sz w:val="18"/>
                <w:szCs w:val="18"/>
              </w:rPr>
              <w:t>.</w:t>
            </w:r>
            <w:r w:rsidRPr="00F91796">
              <w:rPr>
                <w:rFonts w:ascii="Arial" w:eastAsia="Arial" w:hAnsi="Arial" w:cs="Arial"/>
                <w:spacing w:val="1"/>
                <w:sz w:val="18"/>
                <w:szCs w:val="18"/>
              </w:rPr>
              <w:t>2</w:t>
            </w:r>
            <w:r w:rsidRPr="00F91796">
              <w:rPr>
                <w:rFonts w:ascii="Arial" w:eastAsia="Arial" w:hAnsi="Arial" w:cs="Arial"/>
                <w:sz w:val="18"/>
                <w:szCs w:val="18"/>
              </w:rPr>
              <w:t>.</w:t>
            </w:r>
            <w:r w:rsidRPr="00F91796">
              <w:rPr>
                <w:rFonts w:ascii="Arial" w:eastAsia="Arial" w:hAnsi="Arial" w:cs="Arial"/>
                <w:spacing w:val="1"/>
                <w:sz w:val="18"/>
                <w:szCs w:val="18"/>
              </w:rPr>
              <w:t>4</w:t>
            </w:r>
            <w:r w:rsidRPr="00F91796">
              <w:rPr>
                <w:rFonts w:ascii="Arial" w:eastAsia="Arial" w:hAnsi="Arial" w:cs="Arial"/>
                <w:spacing w:val="-2"/>
                <w:sz w:val="18"/>
                <w:szCs w:val="18"/>
              </w:rPr>
              <w:t>.</w:t>
            </w:r>
            <w:r w:rsidRPr="00F91796">
              <w:rPr>
                <w:rFonts w:ascii="Arial" w:eastAsia="Arial" w:hAnsi="Arial" w:cs="Arial"/>
                <w:spacing w:val="1"/>
                <w:sz w:val="18"/>
                <w:szCs w:val="18"/>
              </w:rPr>
              <w:t>8</w:t>
            </w:r>
            <w:r w:rsidRPr="00F91796">
              <w:rPr>
                <w:rFonts w:ascii="Arial" w:eastAsia="Arial" w:hAnsi="Arial" w:cs="Arial"/>
                <w:sz w:val="18"/>
                <w:szCs w:val="18"/>
              </w:rPr>
              <w:t>.9</w:t>
            </w:r>
          </w:p>
        </w:tc>
        <w:tc>
          <w:tcPr>
            <w:tcW w:w="5567" w:type="dxa"/>
            <w:gridSpan w:val="3"/>
            <w:tcBorders>
              <w:top w:val="single" w:sz="7" w:space="0" w:color="000000"/>
              <w:left w:val="single" w:sz="7" w:space="0" w:color="000000"/>
              <w:bottom w:val="single" w:sz="7" w:space="0" w:color="000000"/>
              <w:right w:val="single" w:sz="7" w:space="0" w:color="000000"/>
            </w:tcBorders>
          </w:tcPr>
          <w:p w14:paraId="731D95D0" w14:textId="77777777" w:rsidR="002B0869" w:rsidRPr="00F91796" w:rsidRDefault="002B0869" w:rsidP="00C229F8">
            <w:pPr>
              <w:spacing w:before="12"/>
              <w:ind w:left="64"/>
              <w:rPr>
                <w:rFonts w:ascii="Arial" w:eastAsia="Arial" w:hAnsi="Arial" w:cs="Arial"/>
                <w:sz w:val="18"/>
                <w:szCs w:val="18"/>
              </w:rPr>
            </w:pPr>
            <w:r w:rsidRPr="00F91796">
              <w:rPr>
                <w:rFonts w:ascii="Arial" w:eastAsia="Arial" w:hAnsi="Arial" w:cs="Arial"/>
                <w:spacing w:val="-1"/>
                <w:sz w:val="18"/>
                <w:szCs w:val="18"/>
              </w:rPr>
              <w:t>O</w:t>
            </w:r>
            <w:r w:rsidRPr="00F91796">
              <w:rPr>
                <w:rFonts w:ascii="Arial" w:eastAsia="Arial" w:hAnsi="Arial" w:cs="Arial"/>
                <w:sz w:val="18"/>
                <w:szCs w:val="18"/>
              </w:rPr>
              <w:t>tr</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A</w:t>
            </w:r>
            <w:r w:rsidRPr="00F91796">
              <w:rPr>
                <w:rFonts w:ascii="Arial" w:eastAsia="Arial" w:hAnsi="Arial" w:cs="Arial"/>
                <w:spacing w:val="1"/>
                <w:sz w:val="18"/>
                <w:szCs w:val="18"/>
              </w:rPr>
              <w:t>c</w:t>
            </w:r>
            <w:r w:rsidRPr="00F91796">
              <w:rPr>
                <w:rFonts w:ascii="Arial" w:eastAsia="Arial" w:hAnsi="Arial" w:cs="Arial"/>
                <w:spacing w:val="-2"/>
                <w:sz w:val="18"/>
                <w:szCs w:val="18"/>
              </w:rPr>
              <w:t>t</w:t>
            </w:r>
            <w:r w:rsidRPr="00F91796">
              <w:rPr>
                <w:rFonts w:ascii="Arial" w:eastAsia="Arial" w:hAnsi="Arial" w:cs="Arial"/>
                <w:spacing w:val="1"/>
                <w:sz w:val="18"/>
                <w:szCs w:val="18"/>
              </w:rPr>
              <w:t>i</w:t>
            </w:r>
            <w:r w:rsidRPr="00F91796">
              <w:rPr>
                <w:rFonts w:ascii="Arial" w:eastAsia="Arial" w:hAnsi="Arial" w:cs="Arial"/>
                <w:spacing w:val="-1"/>
                <w:sz w:val="18"/>
                <w:szCs w:val="18"/>
              </w:rPr>
              <w:t>v</w:t>
            </w:r>
            <w:r w:rsidRPr="00F91796">
              <w:rPr>
                <w:rFonts w:ascii="Arial" w:eastAsia="Arial" w:hAnsi="Arial" w:cs="Arial"/>
                <w:spacing w:val="1"/>
                <w:sz w:val="18"/>
                <w:szCs w:val="18"/>
              </w:rPr>
              <w:t>o</w:t>
            </w:r>
            <w:r w:rsidRPr="00F91796">
              <w:rPr>
                <w:rFonts w:ascii="Arial" w:eastAsia="Arial" w:hAnsi="Arial" w:cs="Arial"/>
                <w:sz w:val="18"/>
                <w:szCs w:val="18"/>
              </w:rPr>
              <w:t>s</w:t>
            </w:r>
            <w:r w:rsidRPr="00F91796">
              <w:rPr>
                <w:rFonts w:ascii="Arial" w:eastAsia="Arial" w:hAnsi="Arial" w:cs="Arial"/>
                <w:spacing w:val="1"/>
                <w:sz w:val="18"/>
                <w:szCs w:val="18"/>
              </w:rPr>
              <w:t xml:space="preserve"> </w:t>
            </w:r>
            <w:r w:rsidRPr="00F91796">
              <w:rPr>
                <w:rFonts w:ascii="Arial" w:eastAsia="Arial" w:hAnsi="Arial" w:cs="Arial"/>
                <w:sz w:val="18"/>
                <w:szCs w:val="18"/>
              </w:rPr>
              <w:t>B</w:t>
            </w:r>
            <w:r w:rsidRPr="00F91796">
              <w:rPr>
                <w:rFonts w:ascii="Arial" w:eastAsia="Arial" w:hAnsi="Arial" w:cs="Arial"/>
                <w:spacing w:val="-1"/>
                <w:sz w:val="18"/>
                <w:szCs w:val="18"/>
              </w:rPr>
              <w:t>i</w:t>
            </w:r>
            <w:r w:rsidRPr="00F91796">
              <w:rPr>
                <w:rFonts w:ascii="Arial" w:eastAsia="Arial" w:hAnsi="Arial" w:cs="Arial"/>
                <w:spacing w:val="1"/>
                <w:sz w:val="18"/>
                <w:szCs w:val="18"/>
              </w:rPr>
              <w:t>ol</w:t>
            </w:r>
            <w:r w:rsidRPr="00F91796">
              <w:rPr>
                <w:rFonts w:ascii="Arial" w:eastAsia="Arial" w:hAnsi="Arial" w:cs="Arial"/>
                <w:spacing w:val="-2"/>
                <w:sz w:val="18"/>
                <w:szCs w:val="18"/>
              </w:rPr>
              <w:t>ó</w:t>
            </w:r>
            <w:r w:rsidRPr="00F91796">
              <w:rPr>
                <w:rFonts w:ascii="Arial" w:eastAsia="Arial" w:hAnsi="Arial" w:cs="Arial"/>
                <w:spacing w:val="1"/>
                <w:sz w:val="18"/>
                <w:szCs w:val="18"/>
              </w:rPr>
              <w:t>g</w:t>
            </w:r>
            <w:r w:rsidRPr="00F91796">
              <w:rPr>
                <w:rFonts w:ascii="Arial" w:eastAsia="Arial" w:hAnsi="Arial" w:cs="Arial"/>
                <w:spacing w:val="-2"/>
                <w:sz w:val="18"/>
                <w:szCs w:val="18"/>
              </w:rPr>
              <w:t>i</w:t>
            </w:r>
            <w:r w:rsidRPr="00F91796">
              <w:rPr>
                <w:rFonts w:ascii="Arial" w:eastAsia="Arial" w:hAnsi="Arial" w:cs="Arial"/>
                <w:spacing w:val="1"/>
                <w:sz w:val="18"/>
                <w:szCs w:val="18"/>
              </w:rPr>
              <w:t>co</w:t>
            </w:r>
            <w:r w:rsidRPr="00F91796">
              <w:rPr>
                <w:rFonts w:ascii="Arial" w:eastAsia="Arial" w:hAnsi="Arial" w:cs="Arial"/>
                <w:sz w:val="18"/>
                <w:szCs w:val="18"/>
              </w:rPr>
              <w:t>s</w:t>
            </w:r>
          </w:p>
        </w:tc>
        <w:tc>
          <w:tcPr>
            <w:tcW w:w="821" w:type="dxa"/>
            <w:gridSpan w:val="2"/>
            <w:tcBorders>
              <w:top w:val="single" w:sz="7" w:space="0" w:color="000000"/>
              <w:left w:val="single" w:sz="7" w:space="0" w:color="000000"/>
              <w:bottom w:val="single" w:sz="7" w:space="0" w:color="000000"/>
              <w:right w:val="single" w:sz="7" w:space="0" w:color="000000"/>
            </w:tcBorders>
          </w:tcPr>
          <w:p w14:paraId="51093F47" w14:textId="77777777" w:rsidR="002B0869" w:rsidRPr="00F91796" w:rsidRDefault="002B0869" w:rsidP="00C229F8">
            <w:pPr>
              <w:spacing w:before="12"/>
              <w:ind w:left="318" w:right="319"/>
              <w:jc w:val="center"/>
              <w:rPr>
                <w:rFonts w:ascii="Arial" w:eastAsia="Arial" w:hAnsi="Arial" w:cs="Arial"/>
                <w:sz w:val="18"/>
                <w:szCs w:val="18"/>
              </w:rPr>
            </w:pPr>
            <w:r w:rsidRPr="00F91796">
              <w:rPr>
                <w:rFonts w:ascii="Arial" w:eastAsia="Arial" w:hAnsi="Arial" w:cs="Arial"/>
                <w:sz w:val="18"/>
                <w:szCs w:val="18"/>
              </w:rPr>
              <w:t>5</w:t>
            </w:r>
          </w:p>
        </w:tc>
        <w:tc>
          <w:tcPr>
            <w:tcW w:w="1542" w:type="dxa"/>
            <w:gridSpan w:val="3"/>
            <w:tcBorders>
              <w:top w:val="single" w:sz="7" w:space="0" w:color="000000"/>
              <w:left w:val="single" w:sz="7" w:space="0" w:color="000000"/>
              <w:bottom w:val="single" w:sz="7" w:space="0" w:color="000000"/>
              <w:right w:val="single" w:sz="7" w:space="0" w:color="000000"/>
            </w:tcBorders>
          </w:tcPr>
          <w:p w14:paraId="6ACD643A" w14:textId="77777777" w:rsidR="002B0869" w:rsidRDefault="002B0869" w:rsidP="00C229F8">
            <w:pPr>
              <w:spacing w:before="12"/>
              <w:ind w:left="530" w:right="530"/>
              <w:jc w:val="center"/>
              <w:rPr>
                <w:rFonts w:ascii="Arial" w:eastAsia="Arial" w:hAnsi="Arial" w:cs="Arial"/>
                <w:sz w:val="18"/>
                <w:szCs w:val="18"/>
              </w:rPr>
            </w:pPr>
            <w:r w:rsidRPr="00F91796">
              <w:rPr>
                <w:rFonts w:ascii="Arial" w:eastAsia="Arial" w:hAnsi="Arial" w:cs="Arial"/>
                <w:spacing w:val="1"/>
                <w:sz w:val="18"/>
                <w:szCs w:val="18"/>
              </w:rPr>
              <w:t>20</w:t>
            </w:r>
          </w:p>
        </w:tc>
      </w:tr>
    </w:tbl>
    <w:p w14:paraId="417EE0F9" w14:textId="77777777" w:rsidR="002B0869" w:rsidRDefault="002B0869" w:rsidP="002B0869"/>
    <w:p w14:paraId="3B89783D" w14:textId="77777777" w:rsidR="002B0869" w:rsidRDefault="002B0869" w:rsidP="002B0869">
      <w:r>
        <w:lastRenderedPageBreak/>
        <w:t>Las notas informativas relacionadas a la Depreciación de los Bienes Muebles (Equipo de transporte y Equipo de Cómputo) e Inmuebles, son las siguientes de acuerdo a los controles internos de la Dirección de Patrimonio Estatal.</w:t>
      </w:r>
    </w:p>
    <w:p w14:paraId="23D69673" w14:textId="77777777" w:rsidR="002B0869" w:rsidRDefault="002B0869" w:rsidP="002B0869"/>
    <w:p w14:paraId="7A568EE5" w14:textId="77777777" w:rsidR="002B0869" w:rsidRDefault="002B0869" w:rsidP="002B0869">
      <w:r>
        <w:t xml:space="preserve">El control y registro se lleva a cabo considerando que la depreciación y amortización, es la distribución sistemática del costo de adquisición de un activo a lo largo de su vida útil, el monto de la depreciación como la amortización se calcula considerando el costo de adquisición del activo depreciable o amortizable, menos su valor de desecho, entre los años correspondientes a su vida útil o su vida económica, obteniendo un importe de la Deprecación Acumulada cuantificada </w:t>
      </w:r>
      <w:r w:rsidRPr="00FA7516">
        <w:t xml:space="preserve">al segundo </w:t>
      </w:r>
      <w:r w:rsidRPr="000260E9">
        <w:t>Trimestre del Ejercicio Fiscal 2025 de la siguiente manera:</w:t>
      </w:r>
    </w:p>
    <w:p w14:paraId="65B4CE37" w14:textId="77777777" w:rsidR="002B0869" w:rsidRPr="000260E9" w:rsidRDefault="002B0869" w:rsidP="002B0869">
      <w:r w:rsidRPr="000260E9">
        <w:rPr>
          <w:noProof/>
          <w:lang w:val="es-MX" w:eastAsia="es-MX"/>
        </w:rPr>
        <w:lastRenderedPageBreak/>
        <w:drawing>
          <wp:inline distT="0" distB="0" distL="0" distR="0" wp14:anchorId="1DE36237" wp14:editId="373BA468">
            <wp:extent cx="6400800" cy="69354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15914" cy="6951846"/>
                    </a:xfrm>
                    <a:prstGeom prst="rect">
                      <a:avLst/>
                    </a:prstGeom>
                    <a:noFill/>
                    <a:ln>
                      <a:noFill/>
                    </a:ln>
                  </pic:spPr>
                </pic:pic>
              </a:graphicData>
            </a:graphic>
          </wp:inline>
        </w:drawing>
      </w:r>
    </w:p>
    <w:p w14:paraId="20A6B0C9" w14:textId="77777777" w:rsidR="002B0869" w:rsidRDefault="002B0869" w:rsidP="002B0869">
      <w:pPr>
        <w:widowControl w:val="0"/>
        <w:kinsoku w:val="0"/>
        <w:spacing w:before="0" w:after="0"/>
        <w:contextualSpacing/>
        <w:jc w:val="left"/>
        <w:rPr>
          <w:rFonts w:eastAsia="Times New Roman" w:cs="Times New Roman"/>
          <w:b/>
          <w:color w:val="000000"/>
          <w:sz w:val="22"/>
          <w:szCs w:val="22"/>
          <w:lang w:eastAsia="es-MX"/>
        </w:rPr>
      </w:pPr>
    </w:p>
    <w:p w14:paraId="35D8CE56" w14:textId="77777777" w:rsidR="002B0869" w:rsidRPr="004F06F2" w:rsidRDefault="002B0869" w:rsidP="002B0869">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11.- OTROS ACTIVOS</w:t>
      </w:r>
    </w:p>
    <w:p w14:paraId="4BD36050" w14:textId="38F4EE94" w:rsidR="002B0869" w:rsidRPr="00FA7516" w:rsidRDefault="002B0869" w:rsidP="002B0869">
      <w:pPr>
        <w:widowControl w:val="0"/>
        <w:kinsoku w:val="0"/>
        <w:spacing w:before="0" w:after="0"/>
        <w:contextualSpacing/>
        <w:jc w:val="left"/>
        <w:rPr>
          <w:rFonts w:eastAsia="Times New Roman" w:cs="Times New Roman"/>
          <w:bCs/>
          <w:color w:val="000000"/>
          <w:sz w:val="22"/>
          <w:szCs w:val="22"/>
          <w:lang w:eastAsia="es-MX"/>
        </w:rPr>
      </w:pPr>
      <w:r w:rsidRPr="00D17AA6">
        <w:rPr>
          <w:rFonts w:eastAsia="Times New Roman" w:cs="Times New Roman"/>
          <w:bCs/>
          <w:color w:val="000000"/>
          <w:sz w:val="22"/>
          <w:szCs w:val="22"/>
          <w:lang w:eastAsia="es-MX"/>
        </w:rPr>
        <w:t>El Gobierno del Estado de Michoacán no cuenta con activos diferentes a los ya señalados</w:t>
      </w:r>
    </w:p>
    <w:p w14:paraId="2771815A" w14:textId="77777777" w:rsidR="002B0869" w:rsidRDefault="002B0869" w:rsidP="002B0869">
      <w:pPr>
        <w:widowControl w:val="0"/>
        <w:kinsoku w:val="0"/>
        <w:spacing w:before="0" w:after="0"/>
        <w:contextualSpacing/>
        <w:jc w:val="left"/>
        <w:rPr>
          <w:rFonts w:eastAsia="Times New Roman" w:cs="Times New Roman"/>
          <w:b/>
          <w:color w:val="000000"/>
          <w:sz w:val="22"/>
          <w:szCs w:val="22"/>
          <w:lang w:eastAsia="es-MX"/>
        </w:rPr>
      </w:pPr>
    </w:p>
    <w:p w14:paraId="0722C01F" w14:textId="77777777" w:rsidR="002B0869" w:rsidRPr="004F06F2" w:rsidRDefault="002B0869" w:rsidP="002B0869">
      <w:pPr>
        <w:widowControl w:val="0"/>
        <w:kinsoku w:val="0"/>
        <w:spacing w:before="0" w:after="0"/>
        <w:contextualSpacing/>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lastRenderedPageBreak/>
        <w:t>PASIVO</w:t>
      </w:r>
    </w:p>
    <w:p w14:paraId="5B311DAE"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Son las obligaciones presentes del Gobierno del Estado, virtualmente ineludibles, identificadas, cuantificadas en términos monetarios y que representan una disminución futura de beneficios económicos, derivadas de operaciones ocurridas en el pasado que le han afectado económicamente. </w:t>
      </w:r>
    </w:p>
    <w:p w14:paraId="064C93CD"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p>
    <w:p w14:paraId="42CECF0D"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Este apartado se compone de dos grupos, como se observa en el cuadro que a continuación se presenta, en los que inciden pasivos derivados de operaciones por servicios personales, cuentas por pagar por operaciones presupuestarias devengadas y contabilizadas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pasivos por obligaciones fiscales y laborales, acreedores diversos y pasivos por deudas contraídas a corto y largo plazo.</w:t>
      </w:r>
    </w:p>
    <w:p w14:paraId="12EA0CAD"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E32CA8">
        <w:rPr>
          <w:noProof/>
          <w:lang w:val="es-MX" w:eastAsia="es-MX"/>
        </w:rPr>
        <w:drawing>
          <wp:inline distT="0" distB="0" distL="0" distR="0" wp14:anchorId="061F0E1D" wp14:editId="706D2A53">
            <wp:extent cx="6249515" cy="5524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26825" cy="576964"/>
                    </a:xfrm>
                    <a:prstGeom prst="rect">
                      <a:avLst/>
                    </a:prstGeom>
                    <a:noFill/>
                    <a:ln>
                      <a:noFill/>
                    </a:ln>
                  </pic:spPr>
                </pic:pic>
              </a:graphicData>
            </a:graphic>
          </wp:inline>
        </w:drawing>
      </w:r>
    </w:p>
    <w:p w14:paraId="37F5125A" w14:textId="77777777" w:rsidR="002B0869" w:rsidRPr="004F06F2" w:rsidRDefault="002B0869" w:rsidP="002B0869">
      <w:pPr>
        <w:tabs>
          <w:tab w:val="left" w:pos="480"/>
        </w:tabs>
        <w:spacing w:before="120" w:after="120"/>
        <w:rPr>
          <w:rFonts w:eastAsia="Calibri" w:cs="Times New Roman"/>
          <w:b/>
          <w:color w:val="000000"/>
        </w:rPr>
      </w:pPr>
    </w:p>
    <w:p w14:paraId="4FCDE7CD" w14:textId="77777777" w:rsidR="002B0869" w:rsidRPr="004F06F2" w:rsidRDefault="002B0869" w:rsidP="002B0869">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 xml:space="preserve">1. PASIVO CIRCULANTE (CUENTAS POR PAGAR A 30, 90, 180 Y MENOR O IGUAL A 365 DÍAS) </w:t>
      </w:r>
    </w:p>
    <w:p w14:paraId="29428CE6"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este apartado, se presentan las obligaciones cuyo vencimiento será en un período menor o igual a doce meses, y se integra por las siguientes cuentas principalmente:</w:t>
      </w:r>
    </w:p>
    <w:p w14:paraId="79241CD5" w14:textId="77777777" w:rsidR="002B0869" w:rsidRPr="004F06F2" w:rsidRDefault="002B0869" w:rsidP="002B0869">
      <w:pPr>
        <w:widowControl w:val="0"/>
        <w:kinsoku w:val="0"/>
        <w:spacing w:before="0" w:after="0"/>
        <w:contextualSpacing/>
        <w:rPr>
          <w:rFonts w:eastAsia="Times New Roman" w:cs="Times New Roman"/>
          <w:b/>
          <w:color w:val="000000"/>
          <w:sz w:val="22"/>
          <w:szCs w:val="22"/>
          <w:lang w:eastAsia="es-MX"/>
        </w:rPr>
      </w:pPr>
    </w:p>
    <w:p w14:paraId="797309F1" w14:textId="77777777" w:rsidR="002B0869" w:rsidRPr="004F06F2" w:rsidRDefault="002B0869" w:rsidP="002B0869">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CUENTAS POR PAGAR A CORTO PLAZO</w:t>
      </w:r>
      <w:r w:rsidRPr="004F06F2">
        <w:rPr>
          <w:rFonts w:eastAsia="Calibri" w:cs="Times New Roman"/>
          <w:sz w:val="22"/>
          <w:szCs w:val="22"/>
        </w:rPr>
        <w:t xml:space="preserve"> </w:t>
      </w:r>
    </w:p>
    <w:p w14:paraId="4D51586A"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En el renglón de Cuentas por Pagar Corto Plazo, se incluyeron, para su presentación, los siguientes conceptos:</w:t>
      </w:r>
    </w:p>
    <w:tbl>
      <w:tblPr>
        <w:tblW w:w="9979" w:type="dxa"/>
        <w:tblCellMar>
          <w:left w:w="70" w:type="dxa"/>
          <w:right w:w="70" w:type="dxa"/>
        </w:tblCellMar>
        <w:tblLook w:val="04A0" w:firstRow="1" w:lastRow="0" w:firstColumn="1" w:lastColumn="0" w:noHBand="0" w:noVBand="1"/>
      </w:tblPr>
      <w:tblGrid>
        <w:gridCol w:w="6936"/>
        <w:gridCol w:w="3119"/>
      </w:tblGrid>
      <w:tr w:rsidR="002B0869" w:rsidRPr="00E32CA8" w14:paraId="06211F48" w14:textId="77777777" w:rsidTr="00C229F8">
        <w:trPr>
          <w:trHeight w:val="184"/>
        </w:trPr>
        <w:tc>
          <w:tcPr>
            <w:tcW w:w="6936" w:type="dxa"/>
            <w:tcBorders>
              <w:top w:val="single" w:sz="8" w:space="0" w:color="auto"/>
              <w:left w:val="single" w:sz="8" w:space="0" w:color="auto"/>
              <w:bottom w:val="nil"/>
              <w:right w:val="single" w:sz="8" w:space="0" w:color="auto"/>
            </w:tcBorders>
            <w:shd w:val="clear" w:color="000000" w:fill="000000"/>
            <w:noWrap/>
            <w:vAlign w:val="center"/>
            <w:hideMark/>
          </w:tcPr>
          <w:p w14:paraId="44B9A9B5" w14:textId="77777777" w:rsidR="002B0869" w:rsidRPr="00E32CA8" w:rsidRDefault="002B0869" w:rsidP="00C229F8">
            <w:pPr>
              <w:spacing w:before="0" w:after="0" w:line="240" w:lineRule="auto"/>
              <w:jc w:val="center"/>
              <w:rPr>
                <w:rFonts w:ascii="Arial" w:eastAsia="Times New Roman" w:hAnsi="Arial" w:cs="Arial"/>
                <w:b/>
                <w:bCs/>
                <w:color w:val="FFFFFF"/>
                <w:sz w:val="14"/>
                <w:szCs w:val="20"/>
                <w:lang w:val="es-MX" w:eastAsia="es-MX"/>
              </w:rPr>
            </w:pPr>
            <w:r w:rsidRPr="00E32CA8">
              <w:rPr>
                <w:rFonts w:ascii="Arial" w:eastAsia="Times New Roman" w:hAnsi="Arial" w:cs="Arial"/>
                <w:b/>
                <w:bCs/>
                <w:color w:val="FFFFFF"/>
                <w:sz w:val="14"/>
                <w:szCs w:val="20"/>
                <w:lang w:val="es-MX" w:eastAsia="es-MX"/>
              </w:rPr>
              <w:t>DESCRIPCIÓN</w:t>
            </w:r>
          </w:p>
        </w:tc>
        <w:tc>
          <w:tcPr>
            <w:tcW w:w="3119" w:type="dxa"/>
            <w:tcBorders>
              <w:top w:val="single" w:sz="8" w:space="0" w:color="auto"/>
              <w:left w:val="nil"/>
              <w:bottom w:val="nil"/>
              <w:right w:val="single" w:sz="8" w:space="0" w:color="auto"/>
            </w:tcBorders>
            <w:shd w:val="clear" w:color="000000" w:fill="000000"/>
            <w:noWrap/>
            <w:vAlign w:val="center"/>
            <w:hideMark/>
          </w:tcPr>
          <w:p w14:paraId="21B05E5F" w14:textId="77777777" w:rsidR="002B0869" w:rsidRPr="00E32CA8" w:rsidRDefault="002B0869" w:rsidP="00C229F8">
            <w:pPr>
              <w:spacing w:before="0" w:after="0" w:line="240" w:lineRule="auto"/>
              <w:jc w:val="center"/>
              <w:rPr>
                <w:rFonts w:ascii="Arial" w:eastAsia="Times New Roman" w:hAnsi="Arial" w:cs="Arial"/>
                <w:b/>
                <w:bCs/>
                <w:color w:val="FFFFFF"/>
                <w:sz w:val="14"/>
                <w:szCs w:val="20"/>
                <w:lang w:val="es-MX" w:eastAsia="es-MX"/>
              </w:rPr>
            </w:pPr>
            <w:r w:rsidRPr="00E32CA8">
              <w:rPr>
                <w:rFonts w:ascii="Arial" w:eastAsia="Times New Roman" w:hAnsi="Arial" w:cs="Arial"/>
                <w:b/>
                <w:bCs/>
                <w:color w:val="FFFFFF"/>
                <w:sz w:val="14"/>
                <w:szCs w:val="20"/>
                <w:lang w:val="es-MX" w:eastAsia="es-MX"/>
              </w:rPr>
              <w:t>IMPORTE</w:t>
            </w:r>
          </w:p>
        </w:tc>
      </w:tr>
      <w:tr w:rsidR="002B0869" w:rsidRPr="00E32CA8" w14:paraId="627E2AAF" w14:textId="77777777" w:rsidTr="00C229F8">
        <w:trPr>
          <w:trHeight w:val="20"/>
        </w:trPr>
        <w:tc>
          <w:tcPr>
            <w:tcW w:w="6936" w:type="dxa"/>
            <w:tcBorders>
              <w:top w:val="single" w:sz="8" w:space="0" w:color="auto"/>
              <w:left w:val="single" w:sz="8" w:space="0" w:color="auto"/>
              <w:bottom w:val="single" w:sz="4" w:space="0" w:color="auto"/>
              <w:right w:val="single" w:sz="4" w:space="0" w:color="auto"/>
            </w:tcBorders>
            <w:vAlign w:val="center"/>
            <w:hideMark/>
          </w:tcPr>
          <w:p w14:paraId="3FB9CC8C" w14:textId="77777777" w:rsidR="002B0869" w:rsidRPr="00E32CA8" w:rsidRDefault="002B0869" w:rsidP="00C229F8">
            <w:pPr>
              <w:spacing w:before="0" w:after="0" w:line="240" w:lineRule="auto"/>
              <w:jc w:val="left"/>
              <w:rPr>
                <w:rFonts w:ascii="Arial" w:eastAsia="Times New Roman" w:hAnsi="Arial" w:cs="Arial"/>
                <w:color w:val="000000"/>
                <w:sz w:val="14"/>
                <w:szCs w:val="20"/>
                <w:lang w:val="es-MX" w:eastAsia="es-MX"/>
              </w:rPr>
            </w:pPr>
            <w:r w:rsidRPr="00E32CA8">
              <w:rPr>
                <w:rFonts w:ascii="Arial" w:eastAsia="Times New Roman" w:hAnsi="Arial" w:cs="Arial"/>
                <w:color w:val="000000"/>
                <w:sz w:val="14"/>
                <w:szCs w:val="20"/>
                <w:lang w:val="es-MX" w:eastAsia="es-MX"/>
              </w:rPr>
              <w:t>CUENTAS POR PAGAR A CORTO PLAZO</w:t>
            </w:r>
          </w:p>
        </w:tc>
        <w:tc>
          <w:tcPr>
            <w:tcW w:w="3119" w:type="dxa"/>
            <w:tcBorders>
              <w:top w:val="single" w:sz="8" w:space="0" w:color="auto"/>
              <w:left w:val="nil"/>
              <w:bottom w:val="single" w:sz="4" w:space="0" w:color="auto"/>
              <w:right w:val="single" w:sz="8" w:space="0" w:color="auto"/>
            </w:tcBorders>
            <w:noWrap/>
            <w:vAlign w:val="center"/>
            <w:hideMark/>
          </w:tcPr>
          <w:p w14:paraId="55E8E3F6" w14:textId="77777777" w:rsidR="002B0869" w:rsidRPr="00E32CA8" w:rsidRDefault="002B0869" w:rsidP="00C229F8">
            <w:pPr>
              <w:spacing w:before="0" w:after="0" w:line="240" w:lineRule="auto"/>
              <w:jc w:val="right"/>
              <w:rPr>
                <w:rFonts w:ascii="Arial" w:eastAsia="Times New Roman" w:hAnsi="Arial" w:cs="Arial"/>
                <w:sz w:val="14"/>
                <w:szCs w:val="20"/>
                <w:lang w:val="es-MX" w:eastAsia="es-MX"/>
              </w:rPr>
            </w:pPr>
            <w:r w:rsidRPr="00E32CA8">
              <w:rPr>
                <w:rFonts w:ascii="Arial" w:eastAsia="Times New Roman" w:hAnsi="Arial" w:cs="Arial"/>
                <w:sz w:val="14"/>
                <w:szCs w:val="20"/>
                <w:lang w:val="es-MX" w:eastAsia="es-MX"/>
              </w:rPr>
              <w:t xml:space="preserve">                                                2,969,660,959.29 </w:t>
            </w:r>
          </w:p>
        </w:tc>
      </w:tr>
      <w:tr w:rsidR="002B0869" w:rsidRPr="00E32CA8" w14:paraId="4D69D11B" w14:textId="77777777" w:rsidTr="00C229F8">
        <w:trPr>
          <w:trHeight w:val="20"/>
        </w:trPr>
        <w:tc>
          <w:tcPr>
            <w:tcW w:w="6936" w:type="dxa"/>
            <w:tcBorders>
              <w:top w:val="nil"/>
              <w:left w:val="single" w:sz="8" w:space="0" w:color="auto"/>
              <w:bottom w:val="single" w:sz="4" w:space="0" w:color="auto"/>
              <w:right w:val="single" w:sz="4" w:space="0" w:color="auto"/>
            </w:tcBorders>
            <w:shd w:val="clear" w:color="000000" w:fill="7B7B7B"/>
            <w:noWrap/>
            <w:vAlign w:val="center"/>
            <w:hideMark/>
          </w:tcPr>
          <w:p w14:paraId="1D385F02" w14:textId="77777777" w:rsidR="002B0869" w:rsidRPr="00E32CA8" w:rsidRDefault="002B0869" w:rsidP="00C229F8">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DOCUMENTOS POR PAGAR A CORTO PLAZO</w:t>
            </w:r>
          </w:p>
        </w:tc>
        <w:tc>
          <w:tcPr>
            <w:tcW w:w="3119" w:type="dxa"/>
            <w:tcBorders>
              <w:top w:val="nil"/>
              <w:left w:val="nil"/>
              <w:bottom w:val="single" w:sz="4" w:space="0" w:color="auto"/>
              <w:right w:val="single" w:sz="8" w:space="0" w:color="auto"/>
            </w:tcBorders>
            <w:shd w:val="clear" w:color="000000" w:fill="7B7B7B"/>
            <w:noWrap/>
            <w:vAlign w:val="center"/>
            <w:hideMark/>
          </w:tcPr>
          <w:p w14:paraId="16A184A1" w14:textId="77777777" w:rsidR="002B0869" w:rsidRPr="00E32CA8" w:rsidRDefault="002B0869" w:rsidP="00C229F8">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 xml:space="preserve">                                                1,075,000,000.04 </w:t>
            </w:r>
          </w:p>
        </w:tc>
      </w:tr>
      <w:tr w:rsidR="002B0869" w:rsidRPr="00E32CA8" w14:paraId="746A543C" w14:textId="77777777" w:rsidTr="00C229F8">
        <w:trPr>
          <w:trHeight w:val="20"/>
        </w:trPr>
        <w:tc>
          <w:tcPr>
            <w:tcW w:w="6936" w:type="dxa"/>
            <w:tcBorders>
              <w:top w:val="nil"/>
              <w:left w:val="single" w:sz="8" w:space="0" w:color="auto"/>
              <w:bottom w:val="single" w:sz="4" w:space="0" w:color="auto"/>
              <w:right w:val="single" w:sz="4" w:space="0" w:color="auto"/>
            </w:tcBorders>
            <w:vAlign w:val="center"/>
            <w:hideMark/>
          </w:tcPr>
          <w:p w14:paraId="6F87D09F" w14:textId="77777777" w:rsidR="002B0869" w:rsidRPr="00E32CA8" w:rsidRDefault="002B0869" w:rsidP="00C229F8">
            <w:pPr>
              <w:spacing w:before="0" w:after="0" w:line="240" w:lineRule="auto"/>
              <w:jc w:val="left"/>
              <w:rPr>
                <w:rFonts w:ascii="Arial" w:eastAsia="Times New Roman" w:hAnsi="Arial" w:cs="Arial"/>
                <w:color w:val="000000"/>
                <w:sz w:val="14"/>
                <w:szCs w:val="20"/>
                <w:lang w:val="es-MX" w:eastAsia="es-MX"/>
              </w:rPr>
            </w:pPr>
            <w:r w:rsidRPr="00E32CA8">
              <w:rPr>
                <w:rFonts w:ascii="Arial" w:eastAsia="Times New Roman" w:hAnsi="Arial" w:cs="Arial"/>
                <w:color w:val="000000"/>
                <w:sz w:val="14"/>
                <w:szCs w:val="20"/>
                <w:lang w:val="es-MX" w:eastAsia="es-MX"/>
              </w:rPr>
              <w:t>PORCIÓN A CORTO PLAZO DE LA DEUDA PÚBLICA A LARGO PLAZO</w:t>
            </w:r>
          </w:p>
        </w:tc>
        <w:tc>
          <w:tcPr>
            <w:tcW w:w="3119" w:type="dxa"/>
            <w:tcBorders>
              <w:top w:val="nil"/>
              <w:left w:val="nil"/>
              <w:bottom w:val="single" w:sz="4" w:space="0" w:color="auto"/>
              <w:right w:val="single" w:sz="8" w:space="0" w:color="auto"/>
            </w:tcBorders>
            <w:noWrap/>
            <w:vAlign w:val="center"/>
            <w:hideMark/>
          </w:tcPr>
          <w:p w14:paraId="485B5F78" w14:textId="77777777" w:rsidR="002B0869" w:rsidRPr="00E32CA8" w:rsidRDefault="002B0869" w:rsidP="00C229F8">
            <w:pPr>
              <w:spacing w:before="0" w:after="0" w:line="240" w:lineRule="auto"/>
              <w:jc w:val="right"/>
              <w:rPr>
                <w:rFonts w:ascii="Arial" w:eastAsia="Times New Roman" w:hAnsi="Arial" w:cs="Arial"/>
                <w:sz w:val="14"/>
                <w:szCs w:val="20"/>
                <w:lang w:val="es-MX" w:eastAsia="es-MX"/>
              </w:rPr>
            </w:pPr>
            <w:r w:rsidRPr="00E32CA8">
              <w:rPr>
                <w:rFonts w:ascii="Arial" w:eastAsia="Times New Roman" w:hAnsi="Arial" w:cs="Arial"/>
                <w:sz w:val="14"/>
                <w:szCs w:val="20"/>
                <w:lang w:val="es-MX" w:eastAsia="es-MX"/>
              </w:rPr>
              <w:t xml:space="preserve">                                                  344,117,911.39 </w:t>
            </w:r>
          </w:p>
        </w:tc>
      </w:tr>
      <w:tr w:rsidR="002B0869" w:rsidRPr="00E32CA8" w14:paraId="1028E228" w14:textId="77777777" w:rsidTr="00C229F8">
        <w:trPr>
          <w:trHeight w:val="20"/>
        </w:trPr>
        <w:tc>
          <w:tcPr>
            <w:tcW w:w="6936" w:type="dxa"/>
            <w:tcBorders>
              <w:top w:val="nil"/>
              <w:left w:val="single" w:sz="8" w:space="0" w:color="auto"/>
              <w:bottom w:val="single" w:sz="4" w:space="0" w:color="auto"/>
              <w:right w:val="single" w:sz="4" w:space="0" w:color="auto"/>
            </w:tcBorders>
            <w:shd w:val="clear" w:color="000000" w:fill="7B7B7B"/>
            <w:noWrap/>
            <w:vAlign w:val="center"/>
            <w:hideMark/>
          </w:tcPr>
          <w:p w14:paraId="2E2E733D" w14:textId="77777777" w:rsidR="002B0869" w:rsidRPr="00E32CA8" w:rsidRDefault="002B0869" w:rsidP="00C229F8">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FONDOS Y BIENES DE TERCEROS EN GARANTÍA Y/O ADMINISTRACIÓN A CORTO PLAZO</w:t>
            </w:r>
          </w:p>
        </w:tc>
        <w:tc>
          <w:tcPr>
            <w:tcW w:w="3119" w:type="dxa"/>
            <w:tcBorders>
              <w:top w:val="nil"/>
              <w:left w:val="single" w:sz="8" w:space="0" w:color="auto"/>
              <w:bottom w:val="single" w:sz="4" w:space="0" w:color="auto"/>
              <w:right w:val="single" w:sz="4" w:space="0" w:color="auto"/>
            </w:tcBorders>
            <w:shd w:val="clear" w:color="000000" w:fill="7B7B7B"/>
            <w:noWrap/>
            <w:vAlign w:val="center"/>
            <w:hideMark/>
          </w:tcPr>
          <w:p w14:paraId="4707C54C" w14:textId="77777777" w:rsidR="002B0869" w:rsidRPr="00E32CA8" w:rsidRDefault="002B0869" w:rsidP="00C229F8">
            <w:pPr>
              <w:spacing w:before="0" w:after="0" w:line="240" w:lineRule="auto"/>
              <w:jc w:val="left"/>
              <w:rPr>
                <w:rFonts w:ascii="Arial" w:eastAsia="Times New Roman" w:hAnsi="Arial" w:cs="Arial"/>
                <w:color w:val="FFFFFF"/>
                <w:sz w:val="14"/>
                <w:szCs w:val="20"/>
                <w:lang w:val="es-MX" w:eastAsia="es-MX"/>
              </w:rPr>
            </w:pPr>
            <w:r w:rsidRPr="00E32CA8">
              <w:rPr>
                <w:rFonts w:ascii="Arial" w:eastAsia="Times New Roman" w:hAnsi="Arial" w:cs="Arial"/>
                <w:color w:val="FFFFFF"/>
                <w:sz w:val="14"/>
                <w:szCs w:val="20"/>
                <w:lang w:val="es-MX" w:eastAsia="es-MX"/>
              </w:rPr>
              <w:t xml:space="preserve">                                                  249,645,863.41 </w:t>
            </w:r>
          </w:p>
        </w:tc>
      </w:tr>
      <w:tr w:rsidR="002B0869" w:rsidRPr="00E32CA8" w14:paraId="7872812C" w14:textId="77777777" w:rsidTr="00C229F8">
        <w:trPr>
          <w:trHeight w:val="20"/>
        </w:trPr>
        <w:tc>
          <w:tcPr>
            <w:tcW w:w="6936" w:type="dxa"/>
            <w:tcBorders>
              <w:top w:val="nil"/>
              <w:left w:val="single" w:sz="8" w:space="0" w:color="auto"/>
              <w:bottom w:val="single" w:sz="4" w:space="0" w:color="auto"/>
              <w:right w:val="single" w:sz="4" w:space="0" w:color="auto"/>
            </w:tcBorders>
            <w:vAlign w:val="center"/>
            <w:hideMark/>
          </w:tcPr>
          <w:p w14:paraId="0B78E171" w14:textId="77777777" w:rsidR="002B0869" w:rsidRPr="00E32CA8" w:rsidRDefault="002B0869" w:rsidP="00C229F8">
            <w:pPr>
              <w:spacing w:before="0" w:after="0" w:line="240" w:lineRule="auto"/>
              <w:jc w:val="left"/>
              <w:rPr>
                <w:rFonts w:ascii="Arial" w:eastAsia="Times New Roman" w:hAnsi="Arial" w:cs="Arial"/>
                <w:color w:val="000000"/>
                <w:sz w:val="14"/>
                <w:szCs w:val="20"/>
                <w:lang w:val="es-MX" w:eastAsia="es-MX"/>
              </w:rPr>
            </w:pPr>
            <w:r w:rsidRPr="00E32CA8">
              <w:rPr>
                <w:rFonts w:ascii="Arial" w:eastAsia="Times New Roman" w:hAnsi="Arial" w:cs="Arial"/>
                <w:color w:val="000000"/>
                <w:sz w:val="14"/>
                <w:szCs w:val="20"/>
                <w:lang w:val="es-MX" w:eastAsia="es-MX"/>
              </w:rPr>
              <w:t>OTROS PASIVOS A CORTO PLAZO</w:t>
            </w:r>
          </w:p>
        </w:tc>
        <w:tc>
          <w:tcPr>
            <w:tcW w:w="3119" w:type="dxa"/>
            <w:tcBorders>
              <w:top w:val="nil"/>
              <w:left w:val="nil"/>
              <w:bottom w:val="single" w:sz="4" w:space="0" w:color="auto"/>
              <w:right w:val="single" w:sz="8" w:space="0" w:color="auto"/>
            </w:tcBorders>
            <w:noWrap/>
            <w:vAlign w:val="center"/>
            <w:hideMark/>
          </w:tcPr>
          <w:p w14:paraId="376D5569" w14:textId="77777777" w:rsidR="002B0869" w:rsidRPr="00E32CA8" w:rsidRDefault="002B0869" w:rsidP="00C229F8">
            <w:pPr>
              <w:spacing w:before="0" w:after="0" w:line="240" w:lineRule="auto"/>
              <w:jc w:val="right"/>
              <w:rPr>
                <w:rFonts w:ascii="Arial" w:eastAsia="Times New Roman" w:hAnsi="Arial" w:cs="Arial"/>
                <w:sz w:val="14"/>
                <w:szCs w:val="20"/>
                <w:lang w:val="es-MX" w:eastAsia="es-MX"/>
              </w:rPr>
            </w:pPr>
            <w:r w:rsidRPr="00E32CA8">
              <w:rPr>
                <w:rFonts w:ascii="Arial" w:eastAsia="Times New Roman" w:hAnsi="Arial" w:cs="Arial"/>
                <w:sz w:val="14"/>
                <w:szCs w:val="20"/>
                <w:lang w:val="es-MX" w:eastAsia="es-MX"/>
              </w:rPr>
              <w:t xml:space="preserve">                                                2,185,292,473.10 </w:t>
            </w:r>
          </w:p>
        </w:tc>
      </w:tr>
      <w:tr w:rsidR="002B0869" w:rsidRPr="00E32CA8" w14:paraId="3FA2C9D7" w14:textId="77777777" w:rsidTr="00C229F8">
        <w:trPr>
          <w:trHeight w:val="20"/>
        </w:trPr>
        <w:tc>
          <w:tcPr>
            <w:tcW w:w="6936" w:type="dxa"/>
            <w:tcBorders>
              <w:top w:val="nil"/>
              <w:left w:val="single" w:sz="8" w:space="0" w:color="auto"/>
              <w:bottom w:val="single" w:sz="8" w:space="0" w:color="auto"/>
              <w:right w:val="single" w:sz="8" w:space="0" w:color="auto"/>
            </w:tcBorders>
            <w:shd w:val="clear" w:color="000000" w:fill="D9D9D9"/>
            <w:noWrap/>
            <w:vAlign w:val="center"/>
            <w:hideMark/>
          </w:tcPr>
          <w:p w14:paraId="5BD261A1" w14:textId="77777777" w:rsidR="002B0869" w:rsidRPr="00E32CA8" w:rsidRDefault="002B0869" w:rsidP="00C229F8">
            <w:pPr>
              <w:spacing w:before="0" w:after="0" w:line="240" w:lineRule="auto"/>
              <w:ind w:firstLineChars="100" w:firstLine="141"/>
              <w:jc w:val="left"/>
              <w:rPr>
                <w:rFonts w:ascii="Arial" w:eastAsia="Times New Roman" w:hAnsi="Arial" w:cs="Arial"/>
                <w:b/>
                <w:bCs/>
                <w:color w:val="000000"/>
                <w:sz w:val="14"/>
                <w:szCs w:val="20"/>
                <w:lang w:val="es-MX" w:eastAsia="es-MX"/>
              </w:rPr>
            </w:pPr>
            <w:r w:rsidRPr="00E32CA8">
              <w:rPr>
                <w:rFonts w:ascii="Arial" w:eastAsia="Times New Roman" w:hAnsi="Arial" w:cs="Arial"/>
                <w:b/>
                <w:bCs/>
                <w:color w:val="000000"/>
                <w:sz w:val="14"/>
                <w:szCs w:val="20"/>
                <w:lang w:val="es-MX" w:eastAsia="es-MX"/>
              </w:rPr>
              <w:t>TOTAL PASIVO CIRCULANTE</w:t>
            </w:r>
          </w:p>
        </w:tc>
        <w:tc>
          <w:tcPr>
            <w:tcW w:w="3119" w:type="dxa"/>
            <w:tcBorders>
              <w:top w:val="nil"/>
              <w:left w:val="nil"/>
              <w:bottom w:val="single" w:sz="8" w:space="0" w:color="auto"/>
              <w:right w:val="single" w:sz="8" w:space="0" w:color="auto"/>
            </w:tcBorders>
            <w:shd w:val="clear" w:color="000000" w:fill="D9D9D9"/>
            <w:noWrap/>
            <w:vAlign w:val="center"/>
            <w:hideMark/>
          </w:tcPr>
          <w:p w14:paraId="30F84604" w14:textId="77777777" w:rsidR="002B0869" w:rsidRPr="00E32CA8" w:rsidRDefault="002B0869" w:rsidP="00C229F8">
            <w:pPr>
              <w:spacing w:before="0" w:after="0" w:line="240" w:lineRule="auto"/>
              <w:jc w:val="left"/>
              <w:rPr>
                <w:rFonts w:ascii="Arial" w:eastAsia="Times New Roman" w:hAnsi="Arial" w:cs="Arial"/>
                <w:b/>
                <w:bCs/>
                <w:sz w:val="14"/>
                <w:szCs w:val="20"/>
                <w:lang w:val="es-MX" w:eastAsia="es-MX"/>
              </w:rPr>
            </w:pPr>
            <w:r w:rsidRPr="00E32CA8">
              <w:rPr>
                <w:rFonts w:ascii="Arial" w:eastAsia="Times New Roman" w:hAnsi="Arial" w:cs="Arial"/>
                <w:b/>
                <w:bCs/>
                <w:sz w:val="14"/>
                <w:szCs w:val="20"/>
                <w:lang w:val="es-MX" w:eastAsia="es-MX"/>
              </w:rPr>
              <w:t xml:space="preserve">                                                6,823,717,207.23 </w:t>
            </w:r>
          </w:p>
        </w:tc>
      </w:tr>
    </w:tbl>
    <w:p w14:paraId="63261465" w14:textId="77777777" w:rsidR="002B0869" w:rsidRDefault="002B0869" w:rsidP="002B0869">
      <w:pPr>
        <w:spacing w:before="0" w:after="0"/>
        <w:rPr>
          <w:rFonts w:eastAsia="Calibri" w:cs="Times New Roman"/>
          <w:b/>
          <w:sz w:val="22"/>
          <w:szCs w:val="22"/>
        </w:rPr>
      </w:pPr>
    </w:p>
    <w:p w14:paraId="46E957FC" w14:textId="77777777" w:rsidR="002B0869" w:rsidRDefault="002B0869" w:rsidP="002B0869">
      <w:pPr>
        <w:spacing w:before="0" w:after="0"/>
        <w:rPr>
          <w:rFonts w:eastAsia="Calibri" w:cs="Times New Roman"/>
          <w:b/>
          <w:sz w:val="22"/>
          <w:szCs w:val="22"/>
        </w:rPr>
      </w:pPr>
    </w:p>
    <w:p w14:paraId="487C2E84" w14:textId="77777777" w:rsidR="002B0869" w:rsidRDefault="002B0869" w:rsidP="002B0869">
      <w:pPr>
        <w:spacing w:before="0" w:after="0"/>
        <w:rPr>
          <w:rFonts w:eastAsia="Calibri" w:cs="Times New Roman"/>
          <w:b/>
          <w:sz w:val="22"/>
          <w:szCs w:val="22"/>
        </w:rPr>
      </w:pPr>
    </w:p>
    <w:p w14:paraId="5F11491B" w14:textId="77777777" w:rsidR="002B0869" w:rsidRDefault="002B0869" w:rsidP="002B0869">
      <w:pPr>
        <w:spacing w:before="0" w:after="0"/>
        <w:rPr>
          <w:rFonts w:eastAsia="Calibri" w:cs="Times New Roman"/>
          <w:b/>
          <w:sz w:val="22"/>
          <w:szCs w:val="22"/>
        </w:rPr>
      </w:pPr>
    </w:p>
    <w:p w14:paraId="00E12A9A"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lastRenderedPageBreak/>
        <w:t>OTROS PASIVOS A CORTO PLAZO</w:t>
      </w:r>
    </w:p>
    <w:p w14:paraId="592C176E"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La cuenta de Otros Pasivos a Corto Plazo se integra por los siguientes conceptos:</w:t>
      </w:r>
    </w:p>
    <w:p w14:paraId="0B8BCDBA" w14:textId="77777777" w:rsidR="002B0869" w:rsidRDefault="002B0869" w:rsidP="002B0869">
      <w:pPr>
        <w:spacing w:before="0" w:after="0"/>
        <w:rPr>
          <w:rFonts w:eastAsia="Calibri" w:cs="Times New Roman"/>
          <w:sz w:val="22"/>
          <w:szCs w:val="22"/>
        </w:rPr>
      </w:pPr>
      <w:r w:rsidRPr="0044783F">
        <w:rPr>
          <w:noProof/>
          <w:lang w:val="es-MX" w:eastAsia="es-MX"/>
        </w:rPr>
        <w:drawing>
          <wp:inline distT="0" distB="0" distL="0" distR="0" wp14:anchorId="26FDB069" wp14:editId="6D65622A">
            <wp:extent cx="6286500" cy="6477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9654" cy="648025"/>
                    </a:xfrm>
                    <a:prstGeom prst="rect">
                      <a:avLst/>
                    </a:prstGeom>
                    <a:noFill/>
                    <a:ln>
                      <a:noFill/>
                    </a:ln>
                  </pic:spPr>
                </pic:pic>
              </a:graphicData>
            </a:graphic>
          </wp:inline>
        </w:drawing>
      </w:r>
    </w:p>
    <w:p w14:paraId="0D6013B1" w14:textId="77777777" w:rsidR="002B0869" w:rsidRPr="004F06F2" w:rsidRDefault="002B0869" w:rsidP="002B0869">
      <w:pPr>
        <w:spacing w:before="0" w:after="0"/>
        <w:rPr>
          <w:rFonts w:eastAsia="Calibri" w:cs="Times New Roman"/>
          <w:sz w:val="10"/>
          <w:szCs w:val="10"/>
        </w:rPr>
      </w:pPr>
    </w:p>
    <w:p w14:paraId="39E02CD7"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El saldo de este apartado, está integrado prácticamente por los conceptos federales recaudados de conformidad con las disposiciones establecidas en el artículo 13 de la Ley de Coordinación Fiscal, y las cláusulas de las secciones III y IV del Convenio de Colaboración Administrativa en Materia Fiscal Federal para efecto que al cierre del período no se han compensado con la federación;</w:t>
      </w:r>
    </w:p>
    <w:p w14:paraId="68250F24" w14:textId="77777777" w:rsidR="002B0869" w:rsidRPr="004F06F2" w:rsidRDefault="002B0869" w:rsidP="002B0869">
      <w:pPr>
        <w:spacing w:before="0" w:after="0"/>
        <w:rPr>
          <w:rFonts w:eastAsia="Calibri" w:cs="Times New Roman"/>
          <w:sz w:val="22"/>
          <w:szCs w:val="22"/>
        </w:rPr>
      </w:pPr>
    </w:p>
    <w:p w14:paraId="70C2CC84"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Se compensan estos saldos al mes siguiente tal como lo estipula la legislación mencionada. Al cierre del período no se han compensado con la federación</w:t>
      </w:r>
      <w:r>
        <w:rPr>
          <w:rFonts w:eastAsia="Calibri" w:cs="Times New Roman"/>
          <w:sz w:val="22"/>
          <w:szCs w:val="22"/>
        </w:rPr>
        <w:t xml:space="preserve"> y</w:t>
      </w:r>
      <w:r w:rsidRPr="004F06F2">
        <w:rPr>
          <w:rFonts w:eastAsia="Calibri" w:cs="Times New Roman"/>
          <w:sz w:val="22"/>
          <w:szCs w:val="22"/>
        </w:rPr>
        <w:t xml:space="preserve"> que representan el </w:t>
      </w:r>
      <w:r w:rsidRPr="00FA7516">
        <w:rPr>
          <w:rFonts w:eastAsia="Calibri" w:cs="Times New Roman"/>
          <w:sz w:val="22"/>
          <w:szCs w:val="22"/>
        </w:rPr>
        <w:t>32% del total del rubro de Pasivo Circulante.</w:t>
      </w:r>
    </w:p>
    <w:p w14:paraId="7C2CC821" w14:textId="77777777" w:rsidR="002B0869" w:rsidRPr="004F06F2" w:rsidRDefault="002B0869" w:rsidP="002B0869">
      <w:pPr>
        <w:spacing w:before="0" w:after="0"/>
        <w:rPr>
          <w:rFonts w:eastAsia="Calibri" w:cs="Times New Roman"/>
          <w:b/>
          <w:sz w:val="22"/>
          <w:szCs w:val="22"/>
        </w:rPr>
      </w:pPr>
    </w:p>
    <w:p w14:paraId="5D0694A5"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2.- FONDOS Y BIENES DE TERCEROS EN GARANTÍA Y/O ADMINISTRACIÓN</w:t>
      </w:r>
    </w:p>
    <w:p w14:paraId="6081651E"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El renglón de Fondos y Bienes de Terceros en Garantía y/ o Administración a Corto Plazo, se integra la de los siguientes fondos:</w:t>
      </w:r>
    </w:p>
    <w:p w14:paraId="5F110E4E" w14:textId="77777777" w:rsidR="002B0869" w:rsidRPr="004F06F2" w:rsidRDefault="002B0869" w:rsidP="002B0869">
      <w:pPr>
        <w:spacing w:before="0" w:after="0"/>
        <w:rPr>
          <w:rFonts w:eastAsia="Calibri" w:cs="Times New Roman"/>
          <w:sz w:val="22"/>
          <w:szCs w:val="22"/>
        </w:rPr>
      </w:pPr>
      <w:r w:rsidRPr="0044783F">
        <w:rPr>
          <w:noProof/>
          <w:lang w:val="es-MX" w:eastAsia="es-MX"/>
        </w:rPr>
        <w:drawing>
          <wp:inline distT="0" distB="0" distL="0" distR="0" wp14:anchorId="6573E409" wp14:editId="2A0013FF">
            <wp:extent cx="6238875" cy="45016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14945" cy="477297"/>
                    </a:xfrm>
                    <a:prstGeom prst="rect">
                      <a:avLst/>
                    </a:prstGeom>
                    <a:noFill/>
                    <a:ln>
                      <a:noFill/>
                    </a:ln>
                  </pic:spPr>
                </pic:pic>
              </a:graphicData>
            </a:graphic>
          </wp:inline>
        </w:drawing>
      </w:r>
    </w:p>
    <w:p w14:paraId="2C5EC172" w14:textId="77777777" w:rsidR="002B0869" w:rsidRDefault="002B0869" w:rsidP="002B0869">
      <w:pPr>
        <w:spacing w:before="0" w:after="0"/>
        <w:rPr>
          <w:rFonts w:eastAsia="Calibri" w:cs="Times New Roman"/>
          <w:color w:val="000000"/>
          <w:sz w:val="22"/>
          <w:szCs w:val="22"/>
        </w:rPr>
      </w:pPr>
    </w:p>
    <w:p w14:paraId="4A2FF699" w14:textId="77777777" w:rsidR="002B0869" w:rsidRPr="004F06F2" w:rsidRDefault="002B0869" w:rsidP="002B0869">
      <w:pPr>
        <w:spacing w:before="0" w:after="0"/>
        <w:rPr>
          <w:rFonts w:eastAsia="Calibri" w:cs="Times New Roman"/>
          <w:color w:val="000000"/>
          <w:sz w:val="22"/>
          <w:szCs w:val="22"/>
        </w:rPr>
      </w:pPr>
      <w:r w:rsidRPr="004F06F2">
        <w:rPr>
          <w:rFonts w:eastAsia="Calibri" w:cs="Times New Roman"/>
          <w:color w:val="000000"/>
          <w:sz w:val="22"/>
          <w:szCs w:val="22"/>
        </w:rPr>
        <w:t>Los Fondos y Depósitos en Garantía que tiene el Gobierno del Estado, se integran por los conceptos de depósitos por órdenes judiciales y administrativas que realiza el sector privado por orden de un juez, como parte del proceso de un juicio, así como por los depósitos en garantía del pago de impuestos de multas federales no fiscales, que se reciben para garantizar la aplicación posterior en el pago de dichos conceptos una vez que la autoridad fiscalizadora los determine como procedentes y en firme.</w:t>
      </w:r>
    </w:p>
    <w:p w14:paraId="2D1430A9" w14:textId="77777777" w:rsidR="002B0869" w:rsidRPr="004F06F2" w:rsidRDefault="002B0869" w:rsidP="002B0869">
      <w:pPr>
        <w:spacing w:before="0" w:after="0"/>
        <w:ind w:left="425"/>
        <w:rPr>
          <w:rFonts w:eastAsia="Calibri" w:cs="Times New Roman"/>
          <w:sz w:val="22"/>
          <w:szCs w:val="22"/>
        </w:rPr>
      </w:pPr>
    </w:p>
    <w:p w14:paraId="7A9B9E81"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lastRenderedPageBreak/>
        <w:t>Los recursos que se reciben como Fondos en Administración, se refieren a aquellos que recibe el Estado solo en calidad de administrador para que una vez cumplidas las condiciones estipuladas en los convenios mediante los cuales se adquirió esta responsabilidad, sean aplicados o reintegrados de conformidad con dichas condiciones.</w:t>
      </w:r>
    </w:p>
    <w:p w14:paraId="3F1CB645" w14:textId="77777777" w:rsidR="002B0869" w:rsidRPr="004F06F2" w:rsidRDefault="002B0869" w:rsidP="002B0869">
      <w:pPr>
        <w:spacing w:before="0" w:after="0"/>
        <w:rPr>
          <w:rFonts w:eastAsia="Calibri" w:cs="Times New Roman"/>
          <w:sz w:val="22"/>
          <w:szCs w:val="22"/>
        </w:rPr>
      </w:pPr>
    </w:p>
    <w:p w14:paraId="4B895533"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 xml:space="preserve">Entre ellos se encuentran, aquellos que se reciben para la regularización de fraccionamientos, algunas aportaciones de acreedores del </w:t>
      </w:r>
      <w:r w:rsidRPr="004F06F2">
        <w:rPr>
          <w:rFonts w:eastAsia="Calibri" w:cs="Times New Roman"/>
          <w:color w:val="000000"/>
          <w:sz w:val="22"/>
          <w:szCs w:val="22"/>
        </w:rPr>
        <w:t>Instituto de Seguridad y Servicios Sociales de los Trabajadores del Estado</w:t>
      </w:r>
      <w:r w:rsidRPr="004F06F2">
        <w:rPr>
          <w:rFonts w:eastAsia="Calibri" w:cs="Times New Roman"/>
          <w:sz w:val="22"/>
          <w:szCs w:val="22"/>
        </w:rPr>
        <w:t>, los conceptos de propiedad inmobiliaria que se recaudan en apoyo a algunos municipios que no cuentan con la infraestructura para llevar a cabo esta actividad, así como el Impuesto Sobre la Renta reintegrado por la federación para entregarlo en su mayoría a los Municipios del Estado</w:t>
      </w:r>
      <w:r>
        <w:rPr>
          <w:rFonts w:eastAsia="Calibri" w:cs="Times New Roman"/>
          <w:sz w:val="22"/>
          <w:szCs w:val="22"/>
        </w:rPr>
        <w:t xml:space="preserve">, </w:t>
      </w:r>
      <w:r w:rsidRPr="00076855">
        <w:rPr>
          <w:rFonts w:eastAsia="Calibri" w:cs="Times New Roman"/>
          <w:sz w:val="22"/>
          <w:szCs w:val="22"/>
        </w:rPr>
        <w:t>además de incluir los recursos que</w:t>
      </w:r>
    </w:p>
    <w:p w14:paraId="6E966116" w14:textId="77777777" w:rsidR="002B0869" w:rsidRPr="004F06F2" w:rsidRDefault="002B0869" w:rsidP="002B0869">
      <w:pPr>
        <w:spacing w:before="0" w:after="0"/>
        <w:rPr>
          <w:rFonts w:eastAsia="Calibri" w:cs="Times New Roman"/>
          <w:sz w:val="22"/>
          <w:szCs w:val="22"/>
        </w:rPr>
      </w:pPr>
      <w:r>
        <w:rPr>
          <w:rFonts w:eastAsia="Calibri" w:cs="Times New Roman"/>
          <w:sz w:val="22"/>
          <w:szCs w:val="22"/>
        </w:rPr>
        <w:t>La Secretaria de Finanzas</w:t>
      </w:r>
      <w:r w:rsidRPr="00076855">
        <w:rPr>
          <w:rFonts w:eastAsia="Calibri" w:cs="Times New Roman"/>
          <w:sz w:val="22"/>
          <w:szCs w:val="22"/>
        </w:rPr>
        <w:t xml:space="preserve"> administra </w:t>
      </w:r>
      <w:r>
        <w:rPr>
          <w:rFonts w:eastAsia="Calibri" w:cs="Times New Roman"/>
          <w:sz w:val="22"/>
          <w:szCs w:val="22"/>
        </w:rPr>
        <w:t xml:space="preserve">de los subsistemas de educación media superior y superior coordinados por </w:t>
      </w:r>
      <w:r w:rsidRPr="00076855">
        <w:rPr>
          <w:rFonts w:eastAsia="Calibri" w:cs="Times New Roman"/>
          <w:sz w:val="22"/>
          <w:szCs w:val="22"/>
        </w:rPr>
        <w:t xml:space="preserve">el Instituto de Educación Media Superior y Superior </w:t>
      </w:r>
      <w:r>
        <w:rPr>
          <w:rFonts w:eastAsia="Calibri" w:cs="Times New Roman"/>
          <w:sz w:val="22"/>
          <w:szCs w:val="22"/>
        </w:rPr>
        <w:t>del Estado de Michoacán,</w:t>
      </w:r>
      <w:r w:rsidRPr="00076855">
        <w:rPr>
          <w:rFonts w:eastAsia="Calibri" w:cs="Times New Roman"/>
          <w:sz w:val="22"/>
          <w:szCs w:val="22"/>
        </w:rPr>
        <w:t xml:space="preserve"> los cuales se </w:t>
      </w:r>
      <w:r>
        <w:rPr>
          <w:rFonts w:eastAsia="Calibri" w:cs="Times New Roman"/>
          <w:sz w:val="22"/>
          <w:szCs w:val="22"/>
        </w:rPr>
        <w:t>captan</w:t>
      </w:r>
      <w:r w:rsidRPr="00076855">
        <w:rPr>
          <w:rFonts w:eastAsia="Calibri" w:cs="Times New Roman"/>
          <w:sz w:val="22"/>
          <w:szCs w:val="22"/>
        </w:rPr>
        <w:t xml:space="preserve"> en las cuentas bancarias que administra la Secretaría de Finanzas y de manera posterior son ministradas a los entes que generaron los </w:t>
      </w:r>
      <w:r>
        <w:rPr>
          <w:rFonts w:eastAsia="Calibri" w:cs="Times New Roman"/>
          <w:sz w:val="22"/>
          <w:szCs w:val="22"/>
        </w:rPr>
        <w:t>ingresos</w:t>
      </w:r>
      <w:r w:rsidRPr="00076855">
        <w:rPr>
          <w:rFonts w:eastAsia="Calibri" w:cs="Times New Roman"/>
          <w:sz w:val="22"/>
          <w:szCs w:val="22"/>
        </w:rPr>
        <w:t>.</w:t>
      </w:r>
    </w:p>
    <w:p w14:paraId="1A1787D9" w14:textId="77777777" w:rsidR="002B0869" w:rsidRPr="004F06F2" w:rsidRDefault="002B0869" w:rsidP="002B0869">
      <w:pPr>
        <w:widowControl w:val="0"/>
        <w:kinsoku w:val="0"/>
        <w:spacing w:before="0" w:after="0"/>
        <w:contextualSpacing/>
        <w:rPr>
          <w:rFonts w:eastAsia="Times New Roman" w:cs="Times New Roman"/>
          <w:b/>
          <w:color w:val="000000"/>
          <w:sz w:val="22"/>
          <w:szCs w:val="22"/>
          <w:lang w:eastAsia="es-MX"/>
        </w:rPr>
      </w:pPr>
    </w:p>
    <w:p w14:paraId="13C3573E" w14:textId="77777777" w:rsidR="002B0869" w:rsidRPr="004F06F2" w:rsidRDefault="002B0869" w:rsidP="002B0869">
      <w:pPr>
        <w:widowControl w:val="0"/>
        <w:kinsoku w:val="0"/>
        <w:spacing w:before="0" w:after="0"/>
        <w:contextualSpacing/>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PASIVO NO CIRCULANTE (CUENTAS POR PAGAR CON VENCIMIENTO MAYOR A 365 DÍAS)</w:t>
      </w:r>
    </w:p>
    <w:p w14:paraId="47F69CF8"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El pasivo no circulante se integra la Deuda Pública a Largo Plazo como a continuación se detalla, y representa las obligaciones a cargo del Gobierno del Estado de Michoacán de Ocampo derivadas de la contratación de créditos con instituciones financieras; esta integración se presenta en el apartado del Estado Analítico de la Deuda.</w:t>
      </w:r>
    </w:p>
    <w:p w14:paraId="5AF0BFD1"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p>
    <w:p w14:paraId="60FB9A14"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9F6BE5">
        <w:rPr>
          <w:noProof/>
          <w:lang w:val="es-MX" w:eastAsia="es-MX"/>
        </w:rPr>
        <w:drawing>
          <wp:inline distT="0" distB="0" distL="0" distR="0" wp14:anchorId="600BF899" wp14:editId="464CF30D">
            <wp:extent cx="6351270" cy="3485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1270" cy="348545"/>
                    </a:xfrm>
                    <a:prstGeom prst="rect">
                      <a:avLst/>
                    </a:prstGeom>
                    <a:noFill/>
                    <a:ln>
                      <a:noFill/>
                    </a:ln>
                  </pic:spPr>
                </pic:pic>
              </a:graphicData>
            </a:graphic>
          </wp:inline>
        </w:drawing>
      </w:r>
    </w:p>
    <w:p w14:paraId="2F52D359" w14:textId="77777777" w:rsidR="002B0869" w:rsidRPr="004F06F2" w:rsidRDefault="002B0869" w:rsidP="002B0869">
      <w:pPr>
        <w:spacing w:before="0" w:after="0"/>
        <w:rPr>
          <w:rFonts w:eastAsia="Calibri" w:cs="Times New Roman"/>
          <w:b/>
          <w:sz w:val="22"/>
          <w:szCs w:val="22"/>
        </w:rPr>
      </w:pPr>
    </w:p>
    <w:p w14:paraId="1782CE42"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lastRenderedPageBreak/>
        <w:t>3.- PASIVOS DIFERIDOS.</w:t>
      </w:r>
    </w:p>
    <w:p w14:paraId="102F740D" w14:textId="77777777" w:rsidR="002B0869" w:rsidRPr="004F06F2" w:rsidRDefault="002B0869" w:rsidP="002B0869">
      <w:pPr>
        <w:spacing w:before="0" w:after="0"/>
        <w:rPr>
          <w:rFonts w:eastAsia="Calibri" w:cs="Times New Roman"/>
          <w:sz w:val="22"/>
          <w:szCs w:val="22"/>
        </w:rPr>
      </w:pPr>
    </w:p>
    <w:p w14:paraId="0783C170"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El Gobierno del Estado de Michoacán no cuenta con pasivos diferidos.</w:t>
      </w:r>
    </w:p>
    <w:p w14:paraId="64A08754" w14:textId="77777777" w:rsidR="002B0869" w:rsidRDefault="002B0869" w:rsidP="002B0869">
      <w:pPr>
        <w:spacing w:before="0" w:after="0"/>
        <w:rPr>
          <w:rFonts w:eastAsia="Calibri" w:cs="Times New Roman"/>
          <w:b/>
          <w:sz w:val="22"/>
          <w:szCs w:val="22"/>
        </w:rPr>
      </w:pPr>
    </w:p>
    <w:p w14:paraId="7D7490B5"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4.- PROVISIONES</w:t>
      </w:r>
    </w:p>
    <w:p w14:paraId="7BE05EDF" w14:textId="77777777" w:rsidR="002B0869" w:rsidRPr="004F06F2" w:rsidRDefault="002B0869" w:rsidP="002B0869">
      <w:pPr>
        <w:spacing w:before="0" w:after="0"/>
        <w:rPr>
          <w:rFonts w:eastAsia="Calibri" w:cs="Times New Roman"/>
          <w:sz w:val="22"/>
          <w:szCs w:val="22"/>
        </w:rPr>
      </w:pPr>
    </w:p>
    <w:p w14:paraId="69A4793C"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El Gobierno del Estado de Michoacán no ha creado provisiones.</w:t>
      </w:r>
    </w:p>
    <w:p w14:paraId="65CBE61C" w14:textId="77777777" w:rsidR="002B0869" w:rsidRDefault="002B0869" w:rsidP="002B0869">
      <w:pPr>
        <w:spacing w:before="0" w:after="0"/>
        <w:rPr>
          <w:rFonts w:eastAsia="Calibri" w:cs="Times New Roman"/>
          <w:b/>
          <w:sz w:val="22"/>
          <w:szCs w:val="22"/>
        </w:rPr>
      </w:pPr>
    </w:p>
    <w:p w14:paraId="5A47AEEA" w14:textId="77777777" w:rsidR="002B0869" w:rsidRPr="004F06F2" w:rsidRDefault="002B0869" w:rsidP="002B0869">
      <w:pPr>
        <w:spacing w:before="0" w:after="0"/>
        <w:rPr>
          <w:rFonts w:eastAsia="Calibri" w:cs="Times New Roman"/>
          <w:b/>
          <w:sz w:val="22"/>
          <w:szCs w:val="22"/>
        </w:rPr>
      </w:pPr>
    </w:p>
    <w:p w14:paraId="0B0E32AF"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5.- OTROS PASIVOS</w:t>
      </w:r>
    </w:p>
    <w:p w14:paraId="3ABB17BA" w14:textId="77777777" w:rsidR="002B0869" w:rsidRDefault="002B0869" w:rsidP="002B0869">
      <w:pPr>
        <w:spacing w:before="0" w:after="0"/>
        <w:rPr>
          <w:rFonts w:eastAsia="Calibri" w:cs="Times New Roman"/>
          <w:sz w:val="22"/>
          <w:szCs w:val="22"/>
        </w:rPr>
      </w:pPr>
      <w:r w:rsidRPr="004F06F2">
        <w:rPr>
          <w:rFonts w:eastAsia="Calibri" w:cs="Times New Roman"/>
          <w:sz w:val="22"/>
          <w:szCs w:val="22"/>
        </w:rPr>
        <w:t>El Gobierno del Estado de Michoacán no cuenta con pasivos diferentes a los ya descritos.</w:t>
      </w:r>
    </w:p>
    <w:p w14:paraId="3689FE3B" w14:textId="77777777" w:rsidR="002B0869" w:rsidRPr="004F06F2" w:rsidRDefault="002B0869" w:rsidP="002B0869">
      <w:pPr>
        <w:spacing w:before="0" w:after="0"/>
        <w:rPr>
          <w:color w:val="833C0B" w:themeColor="accent2" w:themeShade="80"/>
        </w:rPr>
      </w:pPr>
    </w:p>
    <w:p w14:paraId="66EAF818" w14:textId="77777777" w:rsidR="002B0869" w:rsidRPr="004F06F2" w:rsidRDefault="002B0869" w:rsidP="002B0869">
      <w:pPr>
        <w:spacing w:before="0" w:after="0"/>
        <w:jc w:val="left"/>
        <w:rPr>
          <w:rFonts w:eastAsia="Calibri" w:cs="Times New Roman"/>
          <w:b/>
          <w:szCs w:val="36"/>
        </w:rPr>
      </w:pPr>
      <w:r w:rsidRPr="004F06F2">
        <w:rPr>
          <w:rFonts w:eastAsia="Calibri" w:cs="Times New Roman"/>
          <w:b/>
          <w:szCs w:val="36"/>
        </w:rPr>
        <w:t>III). NOTAS AL ESTADO DE VARIACIÓN DE LA HACIENDA PÚBLICA</w:t>
      </w:r>
    </w:p>
    <w:p w14:paraId="5F3CA8AD" w14:textId="77777777" w:rsidR="002B0869" w:rsidRPr="004F06F2" w:rsidRDefault="002B0869" w:rsidP="002B0869">
      <w:pPr>
        <w:widowControl w:val="0"/>
        <w:spacing w:before="0" w:after="0"/>
        <w:jc w:val="left"/>
        <w:rPr>
          <w:rFonts w:eastAsia="Times New Roman" w:cs="Times New Roman"/>
          <w:b/>
          <w:color w:val="000000"/>
          <w:sz w:val="22"/>
          <w:szCs w:val="22"/>
          <w:lang w:eastAsia="es-MX"/>
        </w:rPr>
      </w:pPr>
      <w:r w:rsidRPr="004F06F2">
        <w:rPr>
          <w:rFonts w:eastAsia="Times New Roman" w:cs="Times New Roman"/>
          <w:b/>
          <w:color w:val="000000"/>
          <w:sz w:val="22"/>
          <w:szCs w:val="22"/>
          <w:lang w:eastAsia="es-MX"/>
        </w:rPr>
        <w:t>HACIENDA PÚBLICA/PATRIMONIO</w:t>
      </w:r>
    </w:p>
    <w:p w14:paraId="351FEDA2"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Representa la diferencia entre el activo y el pasivo del ente público. Incluye el resultado de la gestión de ejercicios anteriores.</w:t>
      </w:r>
    </w:p>
    <w:p w14:paraId="24EC3233" w14:textId="77777777" w:rsidR="002B0869" w:rsidRPr="004F06F2" w:rsidRDefault="002B0869" w:rsidP="002B0869">
      <w:pPr>
        <w:widowControl w:val="0"/>
        <w:kinsoku w:val="0"/>
        <w:spacing w:before="0" w:after="0"/>
        <w:ind w:left="426"/>
        <w:contextualSpacing/>
        <w:rPr>
          <w:rFonts w:eastAsia="Calibri" w:cs="Times New Roman"/>
          <w:b/>
          <w:sz w:val="22"/>
          <w:szCs w:val="22"/>
        </w:rPr>
      </w:pPr>
    </w:p>
    <w:p w14:paraId="144E99E8" w14:textId="77777777" w:rsidR="002B0869" w:rsidRPr="0089015B" w:rsidRDefault="002B0869" w:rsidP="002B0869">
      <w:pPr>
        <w:spacing w:before="0" w:after="0"/>
        <w:rPr>
          <w:rFonts w:eastAsia="Calibri" w:cs="Times New Roman"/>
          <w:b/>
          <w:sz w:val="22"/>
          <w:szCs w:val="22"/>
        </w:rPr>
      </w:pPr>
      <w:r w:rsidRPr="004F06F2">
        <w:rPr>
          <w:rFonts w:eastAsia="Calibri" w:cs="Times New Roman"/>
          <w:b/>
          <w:sz w:val="22"/>
          <w:szCs w:val="22"/>
        </w:rPr>
        <w:t xml:space="preserve">    1. Patrimonio Estatal/Patrimonio Contribu</w:t>
      </w:r>
      <w:r>
        <w:rPr>
          <w:rFonts w:eastAsia="Calibri" w:cs="Times New Roman"/>
          <w:b/>
          <w:sz w:val="22"/>
          <w:szCs w:val="22"/>
        </w:rPr>
        <w:t>ido</w:t>
      </w:r>
    </w:p>
    <w:p w14:paraId="267328C8"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las </w:t>
      </w:r>
      <w:r w:rsidRPr="004F06F2">
        <w:rPr>
          <w:rFonts w:eastAsia="Times New Roman" w:cs="Times New Roman"/>
          <w:sz w:val="22"/>
          <w:szCs w:val="22"/>
          <w:lang w:eastAsia="es-MX"/>
        </w:rPr>
        <w:t xml:space="preserve">aportaciones, con fines permanentes, del </w:t>
      </w:r>
      <w:r w:rsidRPr="004F06F2">
        <w:rPr>
          <w:rFonts w:eastAsia="Times New Roman" w:cs="Times New Roman"/>
          <w:color w:val="000000"/>
          <w:sz w:val="22"/>
          <w:szCs w:val="22"/>
          <w:lang w:eastAsia="es-MX"/>
        </w:rPr>
        <w:t>Gobierno del Estado que incrementan la Hacienda Pública/Patrimonio del mismo, así como los efectos identificables y cuantificables que le afecten de acuerdo con los lineamientos emitidos por el Consejo Nacional de Armonización Contable.</w:t>
      </w:r>
    </w:p>
    <w:p w14:paraId="2AF04FC8" w14:textId="77777777" w:rsidR="002B0869" w:rsidRPr="004F06F2" w:rsidRDefault="002B0869" w:rsidP="002B0869">
      <w:pPr>
        <w:widowControl w:val="0"/>
        <w:kinsoku w:val="0"/>
        <w:spacing w:before="0" w:after="0"/>
        <w:ind w:left="709"/>
        <w:contextualSpacing/>
        <w:rPr>
          <w:rFonts w:eastAsia="Times New Roman" w:cs="Times New Roman"/>
          <w:color w:val="000000"/>
          <w:sz w:val="22"/>
          <w:szCs w:val="22"/>
          <w:lang w:eastAsia="es-MX"/>
        </w:rPr>
      </w:pPr>
    </w:p>
    <w:p w14:paraId="60317E4D"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junio</w:t>
      </w:r>
      <w:r w:rsidRPr="004F06F2">
        <w:rPr>
          <w:rFonts w:eastAsia="Times New Roman" w:cs="Times New Roman"/>
          <w:color w:val="000000"/>
          <w:sz w:val="22"/>
          <w:szCs w:val="22"/>
          <w:lang w:eastAsia="es-MX"/>
        </w:rPr>
        <w:t xml:space="preserve">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el total de la Hacienda Pública/Patrimonio Contribuido presenta un saldo de </w:t>
      </w:r>
      <w:r w:rsidRPr="00FA7516">
        <w:rPr>
          <w:rFonts w:eastAsia="Times New Roman" w:cs="Times New Roman"/>
          <w:color w:val="000000"/>
          <w:sz w:val="22"/>
          <w:szCs w:val="22"/>
          <w:lang w:eastAsia="es-MX"/>
        </w:rPr>
        <w:t>37 mil 802 millones 796 mil 957 pesos</w:t>
      </w:r>
      <w:r w:rsidRPr="004F06F2">
        <w:rPr>
          <w:rFonts w:eastAsia="Times New Roman" w:cs="Times New Roman"/>
          <w:color w:val="000000"/>
          <w:sz w:val="22"/>
          <w:szCs w:val="22"/>
          <w:lang w:eastAsia="es-MX"/>
        </w:rPr>
        <w:t>, el cual se integra de los siguientes rubros:</w:t>
      </w:r>
    </w:p>
    <w:p w14:paraId="65C73739"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4783F">
        <w:rPr>
          <w:noProof/>
          <w:lang w:val="es-MX" w:eastAsia="es-MX"/>
        </w:rPr>
        <w:drawing>
          <wp:inline distT="0" distB="0" distL="0" distR="0" wp14:anchorId="11152207" wp14:editId="72C71406">
            <wp:extent cx="6267450" cy="6286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0376" cy="628943"/>
                    </a:xfrm>
                    <a:prstGeom prst="rect">
                      <a:avLst/>
                    </a:prstGeom>
                    <a:noFill/>
                    <a:ln>
                      <a:noFill/>
                    </a:ln>
                  </pic:spPr>
                </pic:pic>
              </a:graphicData>
            </a:graphic>
          </wp:inline>
        </w:drawing>
      </w:r>
    </w:p>
    <w:p w14:paraId="269E6B16" w14:textId="77777777" w:rsidR="002B0869" w:rsidRDefault="002B0869" w:rsidP="002B0869">
      <w:pPr>
        <w:spacing w:before="0" w:after="0"/>
        <w:rPr>
          <w:rFonts w:eastAsia="Calibri" w:cs="Times New Roman"/>
          <w:sz w:val="22"/>
          <w:szCs w:val="22"/>
        </w:rPr>
      </w:pPr>
    </w:p>
    <w:p w14:paraId="267EFB9E" w14:textId="77777777" w:rsidR="002B0869" w:rsidRPr="004F06F2" w:rsidRDefault="002B0869" w:rsidP="002B0869">
      <w:pPr>
        <w:spacing w:before="0" w:after="0"/>
        <w:rPr>
          <w:rFonts w:eastAsia="Calibri" w:cs="Times New Roman"/>
          <w:sz w:val="22"/>
          <w:szCs w:val="22"/>
        </w:rPr>
      </w:pPr>
      <w:r w:rsidRPr="004F06F2">
        <w:rPr>
          <w:rFonts w:eastAsia="Calibri" w:cs="Times New Roman"/>
          <w:sz w:val="22"/>
          <w:szCs w:val="22"/>
        </w:rPr>
        <w:t xml:space="preserve">Dentro del rubro de Patrimonio Estatal/Patrimonio Contribuido, se destaca la actualización realizada de la participación del Poder </w:t>
      </w:r>
      <w:r w:rsidRPr="004F06F2">
        <w:rPr>
          <w:rFonts w:eastAsia="Calibri" w:cs="Times New Roman"/>
          <w:sz w:val="22"/>
          <w:szCs w:val="22"/>
        </w:rPr>
        <w:lastRenderedPageBreak/>
        <w:t xml:space="preserve">Ejecutivo en el Patrimonio de las Entidades Paraestatales, el cual se detalla en el punto </w:t>
      </w:r>
      <w:r>
        <w:rPr>
          <w:rFonts w:eastAsia="Calibri" w:cs="Times New Roman"/>
          <w:sz w:val="22"/>
          <w:szCs w:val="22"/>
        </w:rPr>
        <w:t>7</w:t>
      </w:r>
      <w:r w:rsidRPr="004F06F2">
        <w:rPr>
          <w:rFonts w:eastAsia="Calibri" w:cs="Times New Roman"/>
          <w:sz w:val="22"/>
          <w:szCs w:val="22"/>
        </w:rPr>
        <w:t xml:space="preserve"> de las notas de desglose</w:t>
      </w:r>
      <w:r>
        <w:rPr>
          <w:rFonts w:eastAsia="Calibri" w:cs="Times New Roman"/>
          <w:sz w:val="22"/>
          <w:szCs w:val="22"/>
        </w:rPr>
        <w:t xml:space="preserve"> al Estado de Situación Financiera</w:t>
      </w:r>
      <w:r w:rsidRPr="004F06F2">
        <w:rPr>
          <w:rFonts w:eastAsia="Calibri" w:cs="Times New Roman"/>
          <w:sz w:val="22"/>
          <w:szCs w:val="22"/>
        </w:rPr>
        <w:t>. Dicha actualización forma parte del aumento del Patrimonio contribuido.</w:t>
      </w:r>
    </w:p>
    <w:p w14:paraId="7087A0F5" w14:textId="77777777" w:rsidR="002B0869" w:rsidRPr="004F06F2" w:rsidRDefault="002B0869" w:rsidP="002B0869">
      <w:pPr>
        <w:spacing w:before="0" w:after="0"/>
        <w:rPr>
          <w:rFonts w:eastAsia="Calibri" w:cs="Times New Roman"/>
          <w:b/>
          <w:sz w:val="22"/>
          <w:szCs w:val="22"/>
        </w:rPr>
      </w:pPr>
    </w:p>
    <w:p w14:paraId="1E36B890" w14:textId="77777777" w:rsidR="002B0869" w:rsidRPr="004F06F2" w:rsidRDefault="002B0869" w:rsidP="002B0869">
      <w:pPr>
        <w:spacing w:before="0" w:after="0"/>
        <w:rPr>
          <w:rFonts w:eastAsia="Calibri" w:cs="Times New Roman"/>
          <w:b/>
          <w:sz w:val="22"/>
          <w:szCs w:val="22"/>
        </w:rPr>
      </w:pPr>
      <w:r w:rsidRPr="004F06F2">
        <w:rPr>
          <w:rFonts w:eastAsia="Calibri" w:cs="Times New Roman"/>
          <w:b/>
          <w:sz w:val="22"/>
          <w:szCs w:val="22"/>
        </w:rPr>
        <w:t>2. Patrimonio Estatal/Patrimonio Generado</w:t>
      </w:r>
    </w:p>
    <w:p w14:paraId="345332F9" w14:textId="77777777" w:rsidR="002B0869" w:rsidRDefault="002B0869" w:rsidP="002B0869">
      <w:pPr>
        <w:widowControl w:val="0"/>
        <w:kinsoku w:val="0"/>
        <w:spacing w:before="0" w:after="0"/>
        <w:contextualSpacing/>
        <w:rPr>
          <w:rFonts w:eastAsia="Calibri" w:cs="Times New Roman"/>
          <w:color w:val="000000"/>
          <w:sz w:val="22"/>
          <w:szCs w:val="22"/>
        </w:rPr>
      </w:pPr>
      <w:r w:rsidRPr="004F06F2">
        <w:rPr>
          <w:rFonts w:eastAsia="Calibri" w:cs="Times New Roman"/>
          <w:color w:val="000000"/>
          <w:sz w:val="22"/>
          <w:szCs w:val="22"/>
        </w:rPr>
        <w:t>Representa la acumulación de resultados de la gestión de ejercicios anteriores, incluyendo las aplicadas a reservas, resultados del ejercicio en operación y los eventos identificables y cuantificables de ejercicios anteriores que le afectan de acuerdo con los lineamientos emitidos por el Consejo Nacional de Armonización Contable.</w:t>
      </w:r>
    </w:p>
    <w:p w14:paraId="76D738F2" w14:textId="77777777" w:rsidR="002B0869" w:rsidRDefault="002B0869" w:rsidP="002B0869">
      <w:pPr>
        <w:widowControl w:val="0"/>
        <w:kinsoku w:val="0"/>
        <w:spacing w:before="0" w:after="0"/>
        <w:contextualSpacing/>
        <w:rPr>
          <w:rFonts w:eastAsia="Calibri" w:cs="Times New Roman"/>
          <w:color w:val="000000"/>
          <w:sz w:val="22"/>
          <w:szCs w:val="22"/>
        </w:rPr>
      </w:pPr>
      <w:r w:rsidRPr="0044783F">
        <w:rPr>
          <w:noProof/>
          <w:lang w:val="es-MX" w:eastAsia="es-MX"/>
        </w:rPr>
        <w:drawing>
          <wp:inline distT="0" distB="0" distL="0" distR="0" wp14:anchorId="5A580DD5" wp14:editId="7F1794B1">
            <wp:extent cx="6276975" cy="6762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77523" cy="676334"/>
                    </a:xfrm>
                    <a:prstGeom prst="rect">
                      <a:avLst/>
                    </a:prstGeom>
                    <a:noFill/>
                    <a:ln>
                      <a:noFill/>
                    </a:ln>
                  </pic:spPr>
                </pic:pic>
              </a:graphicData>
            </a:graphic>
          </wp:inline>
        </w:drawing>
      </w:r>
    </w:p>
    <w:p w14:paraId="39B0887C" w14:textId="77777777" w:rsidR="002B0869" w:rsidRPr="004F06F2" w:rsidRDefault="002B0869" w:rsidP="002B0869">
      <w:pPr>
        <w:widowControl w:val="0"/>
        <w:kinsoku w:val="0"/>
        <w:spacing w:before="0" w:after="0"/>
        <w:contextualSpacing/>
        <w:rPr>
          <w:rFonts w:eastAsia="Calibri" w:cs="Times New Roman"/>
          <w:color w:val="000000"/>
          <w:sz w:val="22"/>
          <w:szCs w:val="22"/>
        </w:rPr>
      </w:pPr>
    </w:p>
    <w:p w14:paraId="4470DE87" w14:textId="77777777" w:rsidR="002B0869" w:rsidRPr="00182D04" w:rsidRDefault="002B0869" w:rsidP="002B0869">
      <w:pPr>
        <w:spacing w:before="0" w:after="0"/>
        <w:rPr>
          <w:rFonts w:ascii="Arial" w:hAnsi="Arial" w:cs="Arial"/>
          <w:b/>
          <w:color w:val="000000"/>
          <w:sz w:val="22"/>
          <w:szCs w:val="22"/>
        </w:rPr>
      </w:pPr>
      <w:r w:rsidRPr="004F06F2">
        <w:rPr>
          <w:rFonts w:eastAsia="Calibri" w:cs="Times New Roman"/>
          <w:b/>
          <w:sz w:val="22"/>
          <w:szCs w:val="22"/>
        </w:rPr>
        <w:t>Resultado del Ejercicio</w:t>
      </w:r>
      <w:r w:rsidRPr="004F06F2">
        <w:rPr>
          <w:rFonts w:ascii="Arial" w:hAnsi="Arial" w:cs="Arial"/>
          <w:b/>
          <w:color w:val="000000"/>
          <w:sz w:val="22"/>
          <w:szCs w:val="22"/>
        </w:rPr>
        <w:t xml:space="preserve"> </w:t>
      </w:r>
    </w:p>
    <w:p w14:paraId="3915C6F2"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El monto de </w:t>
      </w:r>
      <w:r w:rsidRPr="00FA7516">
        <w:rPr>
          <w:rFonts w:eastAsia="Times New Roman" w:cs="Times New Roman"/>
          <w:color w:val="000000"/>
          <w:sz w:val="22"/>
          <w:szCs w:val="22"/>
          <w:lang w:eastAsia="es-MX"/>
        </w:rPr>
        <w:t>4</w:t>
      </w:r>
      <w:r w:rsidRPr="00FA7516">
        <w:rPr>
          <w:rFonts w:eastAsia="Calibri" w:cs="Times New Roman"/>
          <w:color w:val="000000"/>
          <w:sz w:val="22"/>
          <w:szCs w:val="22"/>
        </w:rPr>
        <w:t xml:space="preserve"> mil 981 millones 124 mil 444 pesos</w:t>
      </w:r>
      <w:r w:rsidRPr="004F06F2">
        <w:rPr>
          <w:rFonts w:eastAsia="Times New Roman" w:cs="Times New Roman"/>
          <w:color w:val="000000"/>
          <w:sz w:val="22"/>
          <w:szCs w:val="22"/>
          <w:lang w:eastAsia="es-MX"/>
        </w:rPr>
        <w:t>, representa un ahorro del ejercicio, anteriormente denominado superávit, por la diferencia resultante entre el total de los ingresos (mismos que incluyen los Recursos Federales) y el total de los gastos devengados al cierre del mismo.</w:t>
      </w:r>
    </w:p>
    <w:p w14:paraId="137E0CF4" w14:textId="77777777" w:rsidR="002B0869" w:rsidRPr="004F06F2" w:rsidRDefault="002B0869" w:rsidP="002B0869">
      <w:pPr>
        <w:widowControl w:val="0"/>
        <w:kinsoku w:val="0"/>
        <w:spacing w:before="0" w:after="0"/>
        <w:contextualSpacing/>
        <w:rPr>
          <w:rFonts w:eastAsia="Calibri" w:cs="Times New Roman"/>
          <w:b/>
          <w:sz w:val="22"/>
          <w:szCs w:val="22"/>
        </w:rPr>
      </w:pPr>
    </w:p>
    <w:p w14:paraId="65C3BAB7" w14:textId="77777777" w:rsidR="002B0869" w:rsidRPr="0089015B" w:rsidRDefault="002B0869" w:rsidP="002B0869">
      <w:pPr>
        <w:spacing w:before="0" w:after="0"/>
        <w:rPr>
          <w:rFonts w:ascii="Arial" w:hAnsi="Arial" w:cs="Arial"/>
          <w:b/>
          <w:color w:val="000000"/>
          <w:sz w:val="22"/>
          <w:szCs w:val="22"/>
        </w:rPr>
      </w:pPr>
      <w:r w:rsidRPr="004F06F2">
        <w:rPr>
          <w:rFonts w:eastAsia="Calibri" w:cs="Times New Roman"/>
          <w:b/>
          <w:sz w:val="22"/>
          <w:szCs w:val="22"/>
        </w:rPr>
        <w:t>Resultado de Ejercicios Anteriores</w:t>
      </w:r>
      <w:r>
        <w:rPr>
          <w:rFonts w:ascii="Arial" w:hAnsi="Arial" w:cs="Arial"/>
          <w:b/>
          <w:color w:val="000000"/>
          <w:sz w:val="22"/>
          <w:szCs w:val="22"/>
        </w:rPr>
        <w:t xml:space="preserve"> </w:t>
      </w:r>
    </w:p>
    <w:p w14:paraId="20DEE2A9" w14:textId="77777777" w:rsidR="002B0869" w:rsidRPr="004F06F2" w:rsidRDefault="002B0869" w:rsidP="002B0869">
      <w:pPr>
        <w:spacing w:before="0" w:after="0"/>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Representa el saldo acumulado de los resultados obtenidos de ejercicios anteriores, el cual refleja un ahorro (superávit) de </w:t>
      </w:r>
      <w:r w:rsidRPr="00FA7516">
        <w:rPr>
          <w:rFonts w:eastAsia="Times New Roman" w:cs="Times New Roman"/>
          <w:color w:val="000000"/>
          <w:sz w:val="22"/>
          <w:szCs w:val="22"/>
          <w:lang w:eastAsia="es-MX"/>
        </w:rPr>
        <w:t>18 mil 927 millones 630 mil 378 pesos</w:t>
      </w:r>
      <w:r w:rsidRPr="004F06F2">
        <w:rPr>
          <w:rFonts w:eastAsia="Times New Roman" w:cs="Times New Roman"/>
          <w:color w:val="000000"/>
          <w:sz w:val="22"/>
          <w:szCs w:val="22"/>
          <w:lang w:eastAsia="es-MX"/>
        </w:rPr>
        <w:t xml:space="preserve">, en donde ya se incluye el resultado superavitario o ahorro que se obtuvo </w:t>
      </w:r>
      <w:r w:rsidRPr="000A377D">
        <w:rPr>
          <w:rFonts w:eastAsia="Times New Roman" w:cs="Times New Roman"/>
          <w:color w:val="000000"/>
          <w:sz w:val="22"/>
          <w:szCs w:val="22"/>
          <w:lang w:eastAsia="es-MX"/>
        </w:rPr>
        <w:t xml:space="preserve">en el ejercicio 2024 </w:t>
      </w:r>
      <w:r w:rsidRPr="0044783F">
        <w:rPr>
          <w:rFonts w:eastAsia="Times New Roman" w:cs="Times New Roman"/>
          <w:color w:val="000000"/>
          <w:sz w:val="22"/>
          <w:szCs w:val="22"/>
          <w:lang w:eastAsia="es-MX"/>
        </w:rPr>
        <w:t>por un importe de 3</w:t>
      </w:r>
      <w:r w:rsidRPr="0044783F">
        <w:rPr>
          <w:rFonts w:eastAsia="Calibri" w:cs="Times New Roman"/>
          <w:color w:val="000000"/>
          <w:sz w:val="22"/>
          <w:szCs w:val="22"/>
        </w:rPr>
        <w:t xml:space="preserve"> mil 166 millones 477 mil 309 pesos</w:t>
      </w:r>
      <w:r w:rsidRPr="0044783F">
        <w:rPr>
          <w:rFonts w:eastAsia="Times New Roman" w:cs="Times New Roman"/>
          <w:color w:val="000000"/>
          <w:sz w:val="22"/>
          <w:szCs w:val="22"/>
          <w:lang w:eastAsia="es-MX"/>
        </w:rPr>
        <w:t>.</w:t>
      </w:r>
    </w:p>
    <w:p w14:paraId="21AA419E"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p>
    <w:p w14:paraId="1BA4042C" w14:textId="77777777" w:rsidR="002B0869" w:rsidRPr="0089015B" w:rsidRDefault="002B0869" w:rsidP="002B0869">
      <w:pPr>
        <w:spacing w:before="0" w:after="0"/>
        <w:rPr>
          <w:rFonts w:ascii="Arial" w:hAnsi="Arial" w:cs="Arial"/>
          <w:b/>
          <w:color w:val="000000"/>
          <w:sz w:val="22"/>
          <w:szCs w:val="22"/>
        </w:rPr>
      </w:pPr>
      <w:r w:rsidRPr="004F06F2">
        <w:rPr>
          <w:rFonts w:eastAsia="Calibri" w:cs="Times New Roman"/>
          <w:b/>
          <w:sz w:val="22"/>
          <w:szCs w:val="22"/>
        </w:rPr>
        <w:t>Rectificaciones de Resultado de Ejercicios Anteriores</w:t>
      </w:r>
      <w:r>
        <w:rPr>
          <w:rFonts w:ascii="Arial" w:hAnsi="Arial" w:cs="Arial"/>
          <w:b/>
          <w:color w:val="000000"/>
          <w:sz w:val="22"/>
          <w:szCs w:val="22"/>
        </w:rPr>
        <w:t xml:space="preserve"> </w:t>
      </w:r>
    </w:p>
    <w:p w14:paraId="7E40C12E" w14:textId="77777777" w:rsidR="002B0869" w:rsidRPr="004F06F2"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 xml:space="preserve">En esta cuenta se establece el importe correspondiente a la corrección de las omisiones, inexactitudes e imprecisiones de registros en los estados financieros de los entes públicos, o bien </w:t>
      </w:r>
      <w:r w:rsidRPr="004F06F2">
        <w:rPr>
          <w:rFonts w:eastAsia="Times New Roman" w:cs="Times New Roman"/>
          <w:color w:val="000000"/>
          <w:sz w:val="22"/>
          <w:szCs w:val="22"/>
          <w:lang w:eastAsia="es-MX"/>
        </w:rPr>
        <w:lastRenderedPageBreak/>
        <w:t>por los registros contables extemporáneos, por correcciones por errores aritméticos, por errores en la aplicación de políticas contables, así como la inadvertencia o mala interpretación de hechos.</w:t>
      </w:r>
    </w:p>
    <w:p w14:paraId="15400091" w14:textId="77777777" w:rsidR="002B0869" w:rsidRPr="004F06F2" w:rsidRDefault="002B0869" w:rsidP="002B0869">
      <w:pPr>
        <w:widowControl w:val="0"/>
        <w:kinsoku w:val="0"/>
        <w:spacing w:before="0" w:after="0"/>
        <w:contextualSpacing/>
        <w:rPr>
          <w:rFonts w:eastAsia="Calibri" w:cs="Times New Roman"/>
          <w:b/>
          <w:szCs w:val="36"/>
        </w:rPr>
      </w:pPr>
    </w:p>
    <w:p w14:paraId="53628215" w14:textId="77777777" w:rsidR="002B0869" w:rsidRPr="004F06F2" w:rsidRDefault="002B0869" w:rsidP="002B0869">
      <w:pPr>
        <w:widowControl w:val="0"/>
        <w:kinsoku w:val="0"/>
        <w:spacing w:before="0" w:after="0"/>
        <w:contextualSpacing/>
        <w:rPr>
          <w:rFonts w:eastAsia="Calibri" w:cs="Times New Roman"/>
          <w:b/>
          <w:szCs w:val="36"/>
        </w:rPr>
      </w:pPr>
      <w:r w:rsidRPr="004F06F2">
        <w:rPr>
          <w:rFonts w:eastAsia="Calibri" w:cs="Times New Roman"/>
          <w:b/>
          <w:szCs w:val="36"/>
        </w:rPr>
        <w:t>IV) NOTAS AL ESTADO DE FLUJOS DE EFECTIVO</w:t>
      </w:r>
    </w:p>
    <w:p w14:paraId="05253D71"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F06F2">
        <w:rPr>
          <w:rFonts w:eastAsia="Times New Roman" w:cs="Times New Roman"/>
          <w:color w:val="000000"/>
          <w:sz w:val="22"/>
          <w:szCs w:val="22"/>
          <w:lang w:eastAsia="es-MX"/>
        </w:rPr>
        <w:t>1.- La integración de los saldos inicial y final al 3</w:t>
      </w:r>
      <w:r>
        <w:rPr>
          <w:rFonts w:eastAsia="Times New Roman" w:cs="Times New Roman"/>
          <w:color w:val="000000"/>
          <w:sz w:val="22"/>
          <w:szCs w:val="22"/>
          <w:lang w:eastAsia="es-MX"/>
        </w:rPr>
        <w:t>0</w:t>
      </w:r>
      <w:r w:rsidRPr="004F06F2">
        <w:rPr>
          <w:rFonts w:eastAsia="Times New Roman" w:cs="Times New Roman"/>
          <w:color w:val="000000"/>
          <w:sz w:val="22"/>
          <w:szCs w:val="22"/>
          <w:lang w:eastAsia="es-MX"/>
        </w:rPr>
        <w:t xml:space="preserve"> de </w:t>
      </w:r>
      <w:r>
        <w:rPr>
          <w:rFonts w:eastAsia="Times New Roman" w:cs="Times New Roman"/>
          <w:color w:val="000000"/>
          <w:sz w:val="22"/>
          <w:szCs w:val="22"/>
          <w:lang w:eastAsia="es-MX"/>
        </w:rPr>
        <w:t>juni</w:t>
      </w:r>
      <w:r w:rsidRPr="004F06F2">
        <w:rPr>
          <w:rFonts w:eastAsia="Times New Roman" w:cs="Times New Roman"/>
          <w:color w:val="000000"/>
          <w:sz w:val="22"/>
          <w:szCs w:val="22"/>
          <w:lang w:eastAsia="es-MX"/>
        </w:rPr>
        <w:t>o de 202</w:t>
      </w:r>
      <w:r>
        <w:rPr>
          <w:rFonts w:eastAsia="Times New Roman" w:cs="Times New Roman"/>
          <w:color w:val="000000"/>
          <w:sz w:val="22"/>
          <w:szCs w:val="22"/>
          <w:lang w:eastAsia="es-MX"/>
        </w:rPr>
        <w:t>5</w:t>
      </w:r>
      <w:r w:rsidRPr="004F06F2">
        <w:rPr>
          <w:rFonts w:eastAsia="Times New Roman" w:cs="Times New Roman"/>
          <w:color w:val="000000"/>
          <w:sz w:val="22"/>
          <w:szCs w:val="22"/>
          <w:lang w:eastAsia="es-MX"/>
        </w:rPr>
        <w:t xml:space="preserve"> del Efectivo y Equivalentes, que figuran en la última parte del Estado de Flujo de Efectivo en esta cuenta es la siguiente:</w:t>
      </w:r>
    </w:p>
    <w:p w14:paraId="00B2DB6A"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p>
    <w:p w14:paraId="6898304C"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sidRPr="0044783F">
        <w:rPr>
          <w:noProof/>
          <w:lang w:val="es-MX" w:eastAsia="es-MX"/>
        </w:rPr>
        <w:drawing>
          <wp:inline distT="0" distB="0" distL="0" distR="0" wp14:anchorId="46B05538" wp14:editId="75C21630">
            <wp:extent cx="6286500" cy="1209675"/>
            <wp:effectExtent l="0" t="0" r="0" b="9525"/>
            <wp:docPr id="1243561376" name="Imagen 124356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7302" cy="1209829"/>
                    </a:xfrm>
                    <a:prstGeom prst="rect">
                      <a:avLst/>
                    </a:prstGeom>
                    <a:noFill/>
                    <a:ln>
                      <a:noFill/>
                    </a:ln>
                  </pic:spPr>
                </pic:pic>
              </a:graphicData>
            </a:graphic>
          </wp:inline>
        </w:drawing>
      </w:r>
    </w:p>
    <w:p w14:paraId="3181B5B1" w14:textId="77777777" w:rsidR="002B0869" w:rsidRDefault="002B0869" w:rsidP="002B0869">
      <w:pPr>
        <w:widowControl w:val="0"/>
        <w:kinsoku w:val="0"/>
        <w:spacing w:before="0" w:after="0"/>
        <w:contextualSpacing/>
        <w:rPr>
          <w:rFonts w:eastAsia="Times New Roman" w:cs="Times New Roman"/>
          <w:color w:val="000000"/>
          <w:sz w:val="22"/>
          <w:szCs w:val="22"/>
          <w:lang w:eastAsia="es-MX"/>
        </w:rPr>
      </w:pPr>
      <w:r>
        <w:rPr>
          <w:rFonts w:eastAsia="Times New Roman" w:cs="Times New Roman"/>
          <w:color w:val="000000"/>
          <w:sz w:val="22"/>
          <w:szCs w:val="22"/>
          <w:lang w:eastAsia="es-MX"/>
        </w:rPr>
        <w:t xml:space="preserve"> </w:t>
      </w:r>
    </w:p>
    <w:p w14:paraId="582423B0" w14:textId="77777777" w:rsidR="002B0869" w:rsidRPr="00F0186C" w:rsidRDefault="002B0869" w:rsidP="002B0869">
      <w:pPr>
        <w:rPr>
          <w:lang w:eastAsia="es-MX"/>
        </w:rPr>
      </w:pPr>
      <w:r w:rsidRPr="00F0186C">
        <w:rPr>
          <w:lang w:eastAsia="es-MX"/>
        </w:rPr>
        <w:t>2</w:t>
      </w:r>
      <w:r>
        <w:rPr>
          <w:lang w:eastAsia="es-MX"/>
        </w:rPr>
        <w:t xml:space="preserve">.- </w:t>
      </w:r>
      <w:r w:rsidRPr="00F0186C">
        <w:rPr>
          <w:lang w:eastAsia="es-MX"/>
        </w:rPr>
        <w:t>Detallar las adquisiciones de las Actividades de Inversión efectivamente pagadas, respecto</w:t>
      </w:r>
      <w:r>
        <w:rPr>
          <w:lang w:eastAsia="es-MX"/>
        </w:rPr>
        <w:t xml:space="preserve"> </w:t>
      </w:r>
      <w:r w:rsidRPr="00F0186C">
        <w:rPr>
          <w:lang w:eastAsia="es-MX"/>
        </w:rPr>
        <w:t xml:space="preserve">del apartado de aplicación. </w:t>
      </w:r>
    </w:p>
    <w:p w14:paraId="7D79EF59" w14:textId="77777777" w:rsidR="002B0869" w:rsidRPr="00F0186C" w:rsidRDefault="002B0869" w:rsidP="002B0869">
      <w:pPr>
        <w:autoSpaceDE w:val="0"/>
        <w:autoSpaceDN w:val="0"/>
        <w:adjustRightInd w:val="0"/>
        <w:spacing w:before="0" w:after="0" w:line="240" w:lineRule="auto"/>
        <w:rPr>
          <w:rFonts w:eastAsia="Times New Roman" w:cs="Times New Roman"/>
          <w:color w:val="000000"/>
          <w:sz w:val="22"/>
          <w:szCs w:val="22"/>
          <w:lang w:eastAsia="es-MX"/>
        </w:rPr>
      </w:pPr>
    </w:p>
    <w:p w14:paraId="49E0366C" w14:textId="77777777" w:rsidR="002B0869" w:rsidRDefault="002B0869" w:rsidP="002B0869">
      <w:pPr>
        <w:rPr>
          <w:lang w:eastAsia="es-MX"/>
        </w:rPr>
      </w:pPr>
      <w:r w:rsidRPr="00F0186C">
        <w:rPr>
          <w:lang w:eastAsia="es-MX"/>
        </w:rPr>
        <w:t>La información del cuadro siguiente, fue comparada con el registrado existente en el Sistema Integral</w:t>
      </w:r>
      <w:r>
        <w:rPr>
          <w:lang w:eastAsia="es-MX"/>
        </w:rPr>
        <w:t xml:space="preserve"> </w:t>
      </w:r>
      <w:r w:rsidRPr="00F0186C">
        <w:rPr>
          <w:lang w:eastAsia="es-MX"/>
        </w:rPr>
        <w:t xml:space="preserve">de Gestión de Recursos Gubernamentales denominado SAP, sobre la inversión efectivamente pagada, </w:t>
      </w:r>
      <w:r>
        <w:rPr>
          <w:lang w:eastAsia="es-MX"/>
        </w:rPr>
        <w:t xml:space="preserve"> </w:t>
      </w:r>
      <w:r w:rsidRPr="00F0186C">
        <w:rPr>
          <w:lang w:eastAsia="es-MX"/>
        </w:rPr>
        <w:t>y en relación a los Bienes Muebles e Inmuebles, que se tienen controlados en la Dirección de</w:t>
      </w:r>
      <w:r>
        <w:rPr>
          <w:lang w:eastAsia="es-MX"/>
        </w:rPr>
        <w:t xml:space="preserve"> </w:t>
      </w:r>
      <w:r w:rsidRPr="00F0186C">
        <w:rPr>
          <w:lang w:eastAsia="es-MX"/>
        </w:rPr>
        <w:t>Patrimonio Estatal, con fundamentado en el artículo 35, Fracción II</w:t>
      </w:r>
      <w:r>
        <w:rPr>
          <w:lang w:eastAsia="es-MX"/>
        </w:rPr>
        <w:t xml:space="preserve">, del Reglamento Interior de </w:t>
      </w:r>
      <w:r w:rsidRPr="00F0186C">
        <w:rPr>
          <w:lang w:eastAsia="es-MX"/>
        </w:rPr>
        <w:t>la Secretaría de Finanzas y Administración, así como en el numeral 1.</w:t>
      </w:r>
      <w:r>
        <w:rPr>
          <w:lang w:eastAsia="es-MX"/>
        </w:rPr>
        <w:t xml:space="preserve">3.2, del </w:t>
      </w:r>
      <w:r w:rsidRPr="00F0186C">
        <w:rPr>
          <w:lang w:eastAsia="es-MX"/>
        </w:rPr>
        <w:t>Manual de Organización de la Secretaría de Finanzas y Administración.</w:t>
      </w:r>
    </w:p>
    <w:p w14:paraId="3994A846" w14:textId="77777777" w:rsidR="002B0869" w:rsidRDefault="002B0869" w:rsidP="002B0869">
      <w:pPr>
        <w:widowControl w:val="0"/>
        <w:kinsoku w:val="0"/>
        <w:spacing w:before="0" w:after="0"/>
        <w:contextualSpacing/>
        <w:rPr>
          <w:rFonts w:eastAsia="Calibri" w:cs="Times New Roman"/>
          <w:b/>
          <w:szCs w:val="36"/>
        </w:rPr>
      </w:pPr>
      <w:r w:rsidRPr="00AE0977">
        <w:rPr>
          <w:noProof/>
          <w:lang w:val="es-MX" w:eastAsia="es-MX"/>
        </w:rPr>
        <w:lastRenderedPageBreak/>
        <w:drawing>
          <wp:inline distT="0" distB="0" distL="0" distR="0" wp14:anchorId="31DA2F44" wp14:editId="1A54190D">
            <wp:extent cx="6351270" cy="2345690"/>
            <wp:effectExtent l="0" t="0" r="0" b="0"/>
            <wp:docPr id="10600557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1270" cy="2345690"/>
                    </a:xfrm>
                    <a:prstGeom prst="rect">
                      <a:avLst/>
                    </a:prstGeom>
                    <a:noFill/>
                    <a:ln>
                      <a:noFill/>
                    </a:ln>
                  </pic:spPr>
                </pic:pic>
              </a:graphicData>
            </a:graphic>
          </wp:inline>
        </w:drawing>
      </w:r>
    </w:p>
    <w:p w14:paraId="17085382" w14:textId="77777777" w:rsidR="002B0869" w:rsidRDefault="002B0869" w:rsidP="002B0869">
      <w:pPr>
        <w:widowControl w:val="0"/>
        <w:kinsoku w:val="0"/>
        <w:spacing w:before="0" w:after="0"/>
        <w:contextualSpacing/>
        <w:rPr>
          <w:rFonts w:eastAsia="Calibri" w:cs="Times New Roman"/>
          <w:b/>
          <w:szCs w:val="36"/>
        </w:rPr>
      </w:pPr>
    </w:p>
    <w:p w14:paraId="3578600B" w14:textId="77777777" w:rsidR="002B0869" w:rsidRDefault="002B0869" w:rsidP="002B0869">
      <w:pPr>
        <w:widowControl w:val="0"/>
        <w:kinsoku w:val="0"/>
        <w:spacing w:before="0" w:after="0"/>
        <w:contextualSpacing/>
        <w:rPr>
          <w:rFonts w:eastAsia="Calibri" w:cs="Times New Roman"/>
          <w:b/>
          <w:szCs w:val="36"/>
        </w:rPr>
      </w:pPr>
    </w:p>
    <w:p w14:paraId="66095A37" w14:textId="77777777" w:rsidR="002B0869" w:rsidRDefault="002B0869" w:rsidP="002B0869">
      <w:pPr>
        <w:widowControl w:val="0"/>
        <w:kinsoku w:val="0"/>
        <w:spacing w:before="0" w:after="0"/>
        <w:contextualSpacing/>
        <w:rPr>
          <w:rFonts w:eastAsia="Calibri" w:cs="Times New Roman"/>
          <w:b/>
          <w:szCs w:val="36"/>
        </w:rPr>
      </w:pPr>
    </w:p>
    <w:p w14:paraId="0FD6D01E" w14:textId="77777777" w:rsidR="002B0869" w:rsidRDefault="002B0869" w:rsidP="002B0869">
      <w:pPr>
        <w:widowControl w:val="0"/>
        <w:kinsoku w:val="0"/>
        <w:spacing w:before="0" w:after="0"/>
        <w:contextualSpacing/>
        <w:rPr>
          <w:rFonts w:eastAsia="Calibri" w:cs="Times New Roman"/>
          <w:b/>
          <w:szCs w:val="36"/>
        </w:rPr>
      </w:pPr>
    </w:p>
    <w:p w14:paraId="3EFAC419" w14:textId="77777777" w:rsidR="002B0869" w:rsidRDefault="002B0869" w:rsidP="002B0869">
      <w:pPr>
        <w:widowControl w:val="0"/>
        <w:kinsoku w:val="0"/>
        <w:spacing w:before="0" w:after="0"/>
        <w:contextualSpacing/>
        <w:rPr>
          <w:rFonts w:eastAsia="Calibri" w:cs="Times New Roman"/>
          <w:b/>
          <w:szCs w:val="36"/>
        </w:rPr>
      </w:pPr>
    </w:p>
    <w:p w14:paraId="352E71C4" w14:textId="77777777" w:rsidR="002B0869" w:rsidRDefault="002B0869" w:rsidP="002B0869">
      <w:pPr>
        <w:widowControl w:val="0"/>
        <w:kinsoku w:val="0"/>
        <w:spacing w:before="0" w:after="0"/>
        <w:contextualSpacing/>
        <w:rPr>
          <w:rFonts w:eastAsia="Calibri" w:cs="Times New Roman"/>
          <w:b/>
          <w:szCs w:val="36"/>
        </w:rPr>
      </w:pPr>
    </w:p>
    <w:p w14:paraId="51CF47B1" w14:textId="77777777" w:rsidR="002B0869" w:rsidRDefault="002B0869" w:rsidP="002B0869">
      <w:pPr>
        <w:widowControl w:val="0"/>
        <w:kinsoku w:val="0"/>
        <w:spacing w:before="0" w:after="0"/>
        <w:contextualSpacing/>
        <w:rPr>
          <w:rFonts w:eastAsia="Calibri" w:cs="Times New Roman"/>
          <w:b/>
          <w:szCs w:val="36"/>
        </w:rPr>
      </w:pPr>
    </w:p>
    <w:p w14:paraId="17FE22D3" w14:textId="77777777" w:rsidR="002B0869" w:rsidRDefault="002B0869" w:rsidP="002B0869">
      <w:pPr>
        <w:widowControl w:val="0"/>
        <w:kinsoku w:val="0"/>
        <w:spacing w:before="0" w:after="0"/>
        <w:contextualSpacing/>
        <w:rPr>
          <w:rFonts w:eastAsia="Calibri" w:cs="Times New Roman"/>
          <w:b/>
          <w:szCs w:val="36"/>
        </w:rPr>
      </w:pPr>
    </w:p>
    <w:p w14:paraId="0B8AC41C" w14:textId="77777777" w:rsidR="002B0869" w:rsidRDefault="002B0869" w:rsidP="002B0869">
      <w:pPr>
        <w:widowControl w:val="0"/>
        <w:kinsoku w:val="0"/>
        <w:spacing w:before="0" w:after="0"/>
        <w:contextualSpacing/>
        <w:rPr>
          <w:rFonts w:eastAsia="Calibri" w:cs="Times New Roman"/>
          <w:b/>
          <w:szCs w:val="36"/>
        </w:rPr>
      </w:pPr>
    </w:p>
    <w:p w14:paraId="65921646" w14:textId="77777777" w:rsidR="002B0869" w:rsidRDefault="002B0869" w:rsidP="002B0869">
      <w:pPr>
        <w:widowControl w:val="0"/>
        <w:kinsoku w:val="0"/>
        <w:spacing w:before="0" w:after="0"/>
        <w:contextualSpacing/>
        <w:rPr>
          <w:rFonts w:eastAsia="Calibri" w:cs="Times New Roman"/>
          <w:b/>
          <w:szCs w:val="36"/>
        </w:rPr>
      </w:pPr>
    </w:p>
    <w:p w14:paraId="306D6CCC" w14:textId="77777777" w:rsidR="002B0869" w:rsidRDefault="002B0869" w:rsidP="002B0869">
      <w:pPr>
        <w:widowControl w:val="0"/>
        <w:kinsoku w:val="0"/>
        <w:spacing w:before="0" w:after="0"/>
        <w:contextualSpacing/>
        <w:rPr>
          <w:rFonts w:eastAsia="Calibri" w:cs="Times New Roman"/>
          <w:b/>
          <w:szCs w:val="36"/>
        </w:rPr>
      </w:pPr>
    </w:p>
    <w:p w14:paraId="70F3A121" w14:textId="77777777" w:rsidR="002B0869" w:rsidRDefault="002B0869" w:rsidP="002B0869">
      <w:pPr>
        <w:widowControl w:val="0"/>
        <w:kinsoku w:val="0"/>
        <w:spacing w:before="0" w:after="0"/>
        <w:contextualSpacing/>
        <w:rPr>
          <w:rFonts w:eastAsia="Calibri" w:cs="Times New Roman"/>
          <w:b/>
          <w:szCs w:val="36"/>
        </w:rPr>
      </w:pPr>
    </w:p>
    <w:p w14:paraId="4D7952B8" w14:textId="77777777" w:rsidR="002B0869" w:rsidRDefault="002B0869" w:rsidP="002B0869">
      <w:pPr>
        <w:widowControl w:val="0"/>
        <w:kinsoku w:val="0"/>
        <w:spacing w:before="0" w:after="0"/>
        <w:contextualSpacing/>
        <w:rPr>
          <w:rFonts w:eastAsia="Calibri" w:cs="Times New Roman"/>
          <w:b/>
          <w:szCs w:val="36"/>
        </w:rPr>
      </w:pPr>
    </w:p>
    <w:p w14:paraId="42672DB1" w14:textId="77777777" w:rsidR="002B0869" w:rsidRDefault="002B0869" w:rsidP="002B0869">
      <w:pPr>
        <w:widowControl w:val="0"/>
        <w:kinsoku w:val="0"/>
        <w:spacing w:before="0" w:after="0"/>
        <w:contextualSpacing/>
        <w:rPr>
          <w:rFonts w:eastAsia="Calibri" w:cs="Times New Roman"/>
          <w:b/>
          <w:szCs w:val="36"/>
        </w:rPr>
      </w:pPr>
    </w:p>
    <w:p w14:paraId="0B50B8C5" w14:textId="77777777" w:rsidR="002B0869" w:rsidRDefault="002B0869" w:rsidP="002B0869">
      <w:pPr>
        <w:widowControl w:val="0"/>
        <w:kinsoku w:val="0"/>
        <w:spacing w:before="0" w:after="0"/>
        <w:contextualSpacing/>
        <w:rPr>
          <w:rFonts w:eastAsia="Calibri" w:cs="Times New Roman"/>
          <w:b/>
          <w:szCs w:val="36"/>
        </w:rPr>
      </w:pPr>
    </w:p>
    <w:p w14:paraId="32CD0C66" w14:textId="77777777" w:rsidR="002B0869" w:rsidRDefault="002B0869" w:rsidP="002B0869">
      <w:pPr>
        <w:widowControl w:val="0"/>
        <w:kinsoku w:val="0"/>
        <w:spacing w:before="0" w:after="0"/>
        <w:contextualSpacing/>
        <w:rPr>
          <w:rFonts w:eastAsia="Calibri" w:cs="Times New Roman"/>
          <w:b/>
          <w:szCs w:val="36"/>
        </w:rPr>
      </w:pPr>
    </w:p>
    <w:p w14:paraId="7F616CAF" w14:textId="77777777" w:rsidR="002B0869" w:rsidRDefault="002B0869" w:rsidP="002B0869">
      <w:pPr>
        <w:widowControl w:val="0"/>
        <w:kinsoku w:val="0"/>
        <w:spacing w:before="0" w:after="0"/>
        <w:contextualSpacing/>
        <w:rPr>
          <w:rFonts w:eastAsia="Calibri" w:cs="Times New Roman"/>
          <w:b/>
          <w:szCs w:val="36"/>
        </w:rPr>
      </w:pPr>
    </w:p>
    <w:p w14:paraId="5793684A" w14:textId="77777777" w:rsidR="002B0869" w:rsidRDefault="002B0869" w:rsidP="002B0869">
      <w:pPr>
        <w:widowControl w:val="0"/>
        <w:kinsoku w:val="0"/>
        <w:spacing w:before="0" w:after="0"/>
        <w:contextualSpacing/>
        <w:rPr>
          <w:rFonts w:eastAsia="Calibri" w:cs="Times New Roman"/>
          <w:b/>
          <w:szCs w:val="36"/>
        </w:rPr>
      </w:pPr>
    </w:p>
    <w:p w14:paraId="4D14BC51" w14:textId="77777777" w:rsidR="002B0869" w:rsidRDefault="002B0869" w:rsidP="002B0869">
      <w:pPr>
        <w:widowControl w:val="0"/>
        <w:kinsoku w:val="0"/>
        <w:spacing w:before="0" w:after="0"/>
        <w:contextualSpacing/>
        <w:rPr>
          <w:rFonts w:eastAsia="Calibri" w:cs="Times New Roman"/>
          <w:b/>
          <w:szCs w:val="36"/>
        </w:rPr>
      </w:pPr>
    </w:p>
    <w:p w14:paraId="2F895CAC" w14:textId="77777777" w:rsidR="002B0869" w:rsidRDefault="002B0869" w:rsidP="002B0869">
      <w:pPr>
        <w:widowControl w:val="0"/>
        <w:kinsoku w:val="0"/>
        <w:spacing w:before="0" w:after="0"/>
        <w:contextualSpacing/>
        <w:rPr>
          <w:rFonts w:eastAsia="Calibri" w:cs="Times New Roman"/>
          <w:b/>
          <w:szCs w:val="36"/>
        </w:rPr>
      </w:pPr>
    </w:p>
    <w:p w14:paraId="43B505E1" w14:textId="77777777" w:rsidR="002B0869" w:rsidRDefault="002B0869" w:rsidP="002B0869">
      <w:pPr>
        <w:widowControl w:val="0"/>
        <w:kinsoku w:val="0"/>
        <w:spacing w:before="0" w:after="0"/>
        <w:contextualSpacing/>
        <w:rPr>
          <w:rFonts w:eastAsia="Calibri" w:cs="Times New Roman"/>
          <w:b/>
          <w:szCs w:val="36"/>
        </w:rPr>
      </w:pPr>
    </w:p>
    <w:p w14:paraId="6E59EE71" w14:textId="77777777" w:rsidR="002B0869" w:rsidRDefault="002B0869" w:rsidP="002B0869">
      <w:pPr>
        <w:widowControl w:val="0"/>
        <w:kinsoku w:val="0"/>
        <w:spacing w:before="0" w:after="0"/>
        <w:contextualSpacing/>
        <w:rPr>
          <w:rFonts w:eastAsia="Calibri" w:cs="Times New Roman"/>
          <w:b/>
          <w:szCs w:val="36"/>
        </w:rPr>
      </w:pPr>
    </w:p>
    <w:p w14:paraId="3541CB93" w14:textId="77777777" w:rsidR="002B0869" w:rsidRPr="004F06F2" w:rsidRDefault="002B0869" w:rsidP="002B0869">
      <w:pPr>
        <w:widowControl w:val="0"/>
        <w:kinsoku w:val="0"/>
        <w:spacing w:before="0" w:after="0"/>
        <w:contextualSpacing/>
        <w:rPr>
          <w:rFonts w:eastAsia="Calibri" w:cs="Times New Roman"/>
          <w:b/>
          <w:szCs w:val="36"/>
        </w:rPr>
      </w:pPr>
      <w:r w:rsidRPr="00FA7516">
        <w:rPr>
          <w:rFonts w:eastAsia="Calibri" w:cs="Times New Roman"/>
          <w:b/>
          <w:szCs w:val="36"/>
        </w:rPr>
        <w:lastRenderedPageBreak/>
        <w:t>V) CONCILIACIÓN ENTRE LOS INGRESOS PRESUPUESTARIOS Y CONTABLES, ASÍ COMO ENTRE LOS EGRESOS PRESUPUESTARIOS Y LOS GASTOS CONTABLES</w:t>
      </w:r>
    </w:p>
    <w:p w14:paraId="382B8DBC" w14:textId="77777777" w:rsidR="002B0869" w:rsidRPr="004F06F2" w:rsidRDefault="002B0869" w:rsidP="002B0869">
      <w:r w:rsidRPr="00951763">
        <w:rPr>
          <w:noProof/>
          <w:lang w:val="es-MX" w:eastAsia="es-MX"/>
        </w:rPr>
        <w:drawing>
          <wp:inline distT="0" distB="0" distL="0" distR="0" wp14:anchorId="2751B6EE" wp14:editId="04E38C93">
            <wp:extent cx="5612130" cy="4881119"/>
            <wp:effectExtent l="0" t="0" r="7620" b="0"/>
            <wp:docPr id="1243561379" name="Imagen 124356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4881119"/>
                    </a:xfrm>
                    <a:prstGeom prst="rect">
                      <a:avLst/>
                    </a:prstGeom>
                    <a:noFill/>
                    <a:ln>
                      <a:noFill/>
                    </a:ln>
                  </pic:spPr>
                </pic:pic>
              </a:graphicData>
            </a:graphic>
          </wp:inline>
        </w:drawing>
      </w:r>
    </w:p>
    <w:p w14:paraId="79E93C23" w14:textId="77777777" w:rsidR="002B0869" w:rsidRPr="004F06F2" w:rsidRDefault="002B0869" w:rsidP="002B0869">
      <w:r w:rsidRPr="00951763">
        <w:rPr>
          <w:noProof/>
          <w:lang w:val="es-MX" w:eastAsia="es-MX"/>
        </w:rPr>
        <w:lastRenderedPageBreak/>
        <w:drawing>
          <wp:inline distT="0" distB="0" distL="0" distR="0" wp14:anchorId="28949B27" wp14:editId="6810E009">
            <wp:extent cx="5612130" cy="6971735"/>
            <wp:effectExtent l="0" t="0" r="7620" b="635"/>
            <wp:docPr id="1243561380" name="Imagen 124356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6971735"/>
                    </a:xfrm>
                    <a:prstGeom prst="rect">
                      <a:avLst/>
                    </a:prstGeom>
                    <a:noFill/>
                    <a:ln>
                      <a:noFill/>
                    </a:ln>
                  </pic:spPr>
                </pic:pic>
              </a:graphicData>
            </a:graphic>
          </wp:inline>
        </w:drawing>
      </w:r>
    </w:p>
    <w:p w14:paraId="03B4F890" w14:textId="77777777" w:rsidR="002B0869" w:rsidRDefault="002B0869" w:rsidP="002B0869"/>
    <w:p w14:paraId="50B06AE0" w14:textId="77777777" w:rsidR="002B0869" w:rsidRDefault="002B0869" w:rsidP="002B0869"/>
    <w:p w14:paraId="1B0106EB" w14:textId="77777777" w:rsidR="002B0869" w:rsidRDefault="002B0869" w:rsidP="002B0869"/>
    <w:p w14:paraId="11731C4C" w14:textId="77777777" w:rsidR="002B0869" w:rsidRPr="004F06F2" w:rsidRDefault="002B0869" w:rsidP="002B0869"/>
    <w:p w14:paraId="0811488F" w14:textId="77777777" w:rsidR="002B0869" w:rsidRPr="004F06F2" w:rsidRDefault="002B0869" w:rsidP="002B0869">
      <w:pPr>
        <w:spacing w:before="0" w:after="0"/>
        <w:jc w:val="center"/>
        <w:rPr>
          <w:rFonts w:eastAsia="Calibri" w:cs="Times New Roman"/>
          <w:b/>
          <w:sz w:val="28"/>
          <w:szCs w:val="28"/>
        </w:rPr>
      </w:pPr>
      <w:r w:rsidRPr="004F06F2">
        <w:rPr>
          <w:rFonts w:eastAsia="Calibri" w:cs="Times New Roman"/>
          <w:b/>
          <w:sz w:val="28"/>
          <w:szCs w:val="28"/>
        </w:rPr>
        <w:lastRenderedPageBreak/>
        <w:t>c) NOTAS DE MEMORIA (CUENTAS DE ORDEN)</w:t>
      </w:r>
    </w:p>
    <w:p w14:paraId="1A194B3A" w14:textId="77777777" w:rsidR="002B0869" w:rsidRPr="008A4F67" w:rsidRDefault="002B0869" w:rsidP="002B0869">
      <w:pPr>
        <w:rPr>
          <w:sz w:val="22"/>
        </w:rPr>
      </w:pPr>
      <w:r w:rsidRPr="008A4F67">
        <w:rPr>
          <w:sz w:val="22"/>
        </w:rPr>
        <w:t>Contiene información sobre las cuentas de orden tanto contables como presupuestarias que se utilizan para registrar movimientos de valores que no afecten o modifiquen el Estado de Situación Financiera del ente público; sin embargo, su incorporación es necesaria con fines de recordatorio, de control y en general sobre los aspectos administrativos, o bien, para consignar sus derechos o responsabilidades contingentes que puedan, o no, presentarse en el futuro.</w:t>
      </w:r>
    </w:p>
    <w:p w14:paraId="5767A92A" w14:textId="77777777" w:rsidR="002B0869" w:rsidRPr="008A4F67" w:rsidRDefault="002B0869" w:rsidP="002B0869">
      <w:pPr>
        <w:rPr>
          <w:sz w:val="22"/>
        </w:rPr>
      </w:pPr>
    </w:p>
    <w:p w14:paraId="3ED199D5" w14:textId="77777777" w:rsidR="002B0869" w:rsidRPr="008A4F67" w:rsidRDefault="002B0869" w:rsidP="002B0869">
      <w:pPr>
        <w:rPr>
          <w:sz w:val="22"/>
        </w:rPr>
      </w:pPr>
      <w:r w:rsidRPr="008A4F67">
        <w:rPr>
          <w:sz w:val="22"/>
        </w:rPr>
        <w:t>Las cuentas que se manejan para efectos de estas Notas son las siguientes:</w:t>
      </w:r>
    </w:p>
    <w:p w14:paraId="0A075799" w14:textId="77777777" w:rsidR="002B0869" w:rsidRPr="008A4F67" w:rsidRDefault="002B0869" w:rsidP="002B0869">
      <w:pPr>
        <w:rPr>
          <w:b/>
          <w:sz w:val="22"/>
        </w:rPr>
      </w:pPr>
      <w:r w:rsidRPr="008A4F67">
        <w:rPr>
          <w:b/>
          <w:sz w:val="22"/>
        </w:rPr>
        <w:t>Cuentas de Orden Contables:</w:t>
      </w:r>
    </w:p>
    <w:p w14:paraId="56B84C8A" w14:textId="77777777" w:rsidR="002B0869" w:rsidRPr="008A4F67" w:rsidRDefault="002B0869" w:rsidP="002B0869">
      <w:pPr>
        <w:rPr>
          <w:b/>
          <w:sz w:val="22"/>
        </w:rPr>
      </w:pPr>
      <w:r w:rsidRPr="008A4F67">
        <w:rPr>
          <w:b/>
          <w:sz w:val="22"/>
        </w:rPr>
        <w:t>Valores</w:t>
      </w:r>
    </w:p>
    <w:p w14:paraId="775D40AB" w14:textId="77777777" w:rsidR="002B0869" w:rsidRPr="008A4F67" w:rsidRDefault="002B0869" w:rsidP="002B0869">
      <w:pPr>
        <w:rPr>
          <w:sz w:val="22"/>
        </w:rPr>
      </w:pPr>
      <w:r w:rsidRPr="008A4F67">
        <w:rPr>
          <w:sz w:val="22"/>
        </w:rPr>
        <w:t>Sin información que revelar durante el periodo que se informa.</w:t>
      </w:r>
    </w:p>
    <w:p w14:paraId="4F86C799" w14:textId="77777777" w:rsidR="002B0869" w:rsidRPr="008A4F67" w:rsidRDefault="002B0869" w:rsidP="002B0869">
      <w:pPr>
        <w:rPr>
          <w:b/>
          <w:sz w:val="22"/>
        </w:rPr>
      </w:pPr>
      <w:r w:rsidRPr="008A4F67">
        <w:rPr>
          <w:b/>
          <w:sz w:val="22"/>
        </w:rPr>
        <w:t>Emisión de Obligaciones</w:t>
      </w:r>
    </w:p>
    <w:p w14:paraId="00A40C95" w14:textId="77777777" w:rsidR="002B0869" w:rsidRPr="008A4F67" w:rsidRDefault="002B0869" w:rsidP="002B0869">
      <w:pPr>
        <w:rPr>
          <w:sz w:val="22"/>
        </w:rPr>
      </w:pPr>
      <w:r w:rsidRPr="008A4F67">
        <w:rPr>
          <w:sz w:val="22"/>
        </w:rPr>
        <w:t>Sin información que revelar durante el periodo que se informa.</w:t>
      </w:r>
    </w:p>
    <w:p w14:paraId="308354FF" w14:textId="77777777" w:rsidR="002B0869" w:rsidRPr="008A4F67" w:rsidRDefault="002B0869" w:rsidP="002B0869">
      <w:pPr>
        <w:rPr>
          <w:b/>
          <w:sz w:val="22"/>
        </w:rPr>
      </w:pPr>
      <w:r w:rsidRPr="008A4F67">
        <w:rPr>
          <w:b/>
          <w:sz w:val="22"/>
        </w:rPr>
        <w:t>Avales y Garantías</w:t>
      </w:r>
    </w:p>
    <w:p w14:paraId="39607C33" w14:textId="77777777" w:rsidR="002B0869" w:rsidRPr="008A4F67" w:rsidRDefault="002B0869" w:rsidP="002B0869">
      <w:pPr>
        <w:rPr>
          <w:sz w:val="22"/>
        </w:rPr>
      </w:pPr>
      <w:r w:rsidRPr="008A4F67">
        <w:rPr>
          <w:sz w:val="22"/>
        </w:rPr>
        <w:t>Sin información que revelar durante el periodo que se informa.</w:t>
      </w:r>
    </w:p>
    <w:p w14:paraId="45899365" w14:textId="77777777" w:rsidR="002B0869" w:rsidRPr="008A4F67" w:rsidRDefault="002B0869" w:rsidP="002B0869">
      <w:pPr>
        <w:rPr>
          <w:b/>
          <w:sz w:val="22"/>
        </w:rPr>
      </w:pPr>
      <w:r w:rsidRPr="008A4F67">
        <w:rPr>
          <w:b/>
          <w:sz w:val="22"/>
        </w:rPr>
        <w:t>Juicios</w:t>
      </w:r>
    </w:p>
    <w:p w14:paraId="49E86A33" w14:textId="77777777" w:rsidR="002B0869" w:rsidRPr="008A4F67" w:rsidRDefault="002B0869" w:rsidP="002B0869">
      <w:pPr>
        <w:rPr>
          <w:sz w:val="22"/>
        </w:rPr>
      </w:pPr>
      <w:r w:rsidRPr="008A4F67">
        <w:rPr>
          <w:sz w:val="22"/>
        </w:rPr>
        <w:t>Sin información que revelar durante el periodo que se informa.</w:t>
      </w:r>
    </w:p>
    <w:p w14:paraId="743EFE91" w14:textId="77777777" w:rsidR="002B0869" w:rsidRPr="008A4F67" w:rsidRDefault="002B0869" w:rsidP="002B0869">
      <w:pPr>
        <w:rPr>
          <w:b/>
          <w:sz w:val="22"/>
        </w:rPr>
      </w:pPr>
      <w:r w:rsidRPr="008A4F67">
        <w:rPr>
          <w:b/>
          <w:sz w:val="22"/>
        </w:rPr>
        <w:t>Inversión Mediante Proyectos para Prestación de Servicios (PPS) y Similares</w:t>
      </w:r>
    </w:p>
    <w:p w14:paraId="2FB8EAED" w14:textId="77777777" w:rsidR="002B0869" w:rsidRPr="008A4F67" w:rsidRDefault="002B0869" w:rsidP="002B0869">
      <w:pPr>
        <w:rPr>
          <w:sz w:val="22"/>
        </w:rPr>
      </w:pPr>
      <w:r w:rsidRPr="008A4F67">
        <w:rPr>
          <w:sz w:val="22"/>
        </w:rPr>
        <w:t>Sin información que revelar durante el periodo que se informa.</w:t>
      </w:r>
    </w:p>
    <w:p w14:paraId="64194F73" w14:textId="77777777" w:rsidR="002B0869" w:rsidRPr="008A4F67" w:rsidRDefault="002B0869" w:rsidP="002B0869">
      <w:pPr>
        <w:rPr>
          <w:b/>
          <w:sz w:val="22"/>
        </w:rPr>
      </w:pPr>
      <w:r w:rsidRPr="008A4F67">
        <w:rPr>
          <w:b/>
          <w:sz w:val="22"/>
        </w:rPr>
        <w:t>Bienes Concesionados o en Comodato</w:t>
      </w:r>
    </w:p>
    <w:p w14:paraId="3A09E850" w14:textId="77777777" w:rsidR="002B0869" w:rsidRPr="008A4F67" w:rsidRDefault="002B0869" w:rsidP="002B0869">
      <w:pPr>
        <w:rPr>
          <w:sz w:val="22"/>
        </w:rPr>
      </w:pPr>
      <w:r w:rsidRPr="008A4F67">
        <w:rPr>
          <w:sz w:val="22"/>
        </w:rPr>
        <w:t>Sin información que revelar durante el periodo que se informa.</w:t>
      </w:r>
    </w:p>
    <w:p w14:paraId="2922105E" w14:textId="77777777" w:rsidR="002B0869" w:rsidRDefault="002B0869" w:rsidP="002B0869"/>
    <w:p w14:paraId="52B83411" w14:textId="77777777" w:rsidR="00C229F8" w:rsidRDefault="00C229F8" w:rsidP="002B0869"/>
    <w:p w14:paraId="7FB25939" w14:textId="77777777" w:rsidR="00C229F8" w:rsidRDefault="00C229F8" w:rsidP="002B0869"/>
    <w:p w14:paraId="7815D2DE" w14:textId="77777777" w:rsidR="00C229F8" w:rsidRDefault="00C229F8" w:rsidP="002B0869"/>
    <w:p w14:paraId="784795E4" w14:textId="77777777" w:rsidR="00C229F8" w:rsidRDefault="00C229F8" w:rsidP="002B0869"/>
    <w:p w14:paraId="1ADAAEAE" w14:textId="77777777" w:rsidR="002B0869"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lastRenderedPageBreak/>
        <w:t>Se informa lo siguiente:</w:t>
      </w:r>
    </w:p>
    <w:p w14:paraId="526C1C75" w14:textId="77777777" w:rsidR="002B0869" w:rsidRPr="00035D40" w:rsidRDefault="002B0869" w:rsidP="002B0869">
      <w:pPr>
        <w:spacing w:before="0" w:after="0"/>
        <w:rPr>
          <w:rFonts w:eastAsia="Calibri" w:cs="Times New Roman"/>
          <w:bCs/>
          <w:sz w:val="22"/>
          <w:szCs w:val="22"/>
          <w:lang w:val="es-MX"/>
        </w:rPr>
      </w:pPr>
    </w:p>
    <w:p w14:paraId="188C86C7" w14:textId="77777777" w:rsidR="002B0869" w:rsidRPr="00035D40" w:rsidRDefault="002B0869" w:rsidP="002B0869">
      <w:pPr>
        <w:spacing w:before="0" w:after="0"/>
        <w:rPr>
          <w:rFonts w:eastAsia="Calibri" w:cs="Times New Roman"/>
          <w:b/>
          <w:bCs/>
          <w:sz w:val="22"/>
          <w:szCs w:val="22"/>
          <w:lang w:val="es-MX"/>
        </w:rPr>
      </w:pPr>
      <w:r w:rsidRPr="00035D40">
        <w:rPr>
          <w:rFonts w:eastAsia="Calibri" w:cs="Times New Roman"/>
          <w:b/>
          <w:bCs/>
          <w:sz w:val="22"/>
          <w:szCs w:val="22"/>
          <w:lang w:val="es-MX"/>
        </w:rPr>
        <w:t>1. Los valores en custodia de instrumentos prestados a formadores de mercado e instrumentos de crédito recibidos en garantía de los formadores de mercado u otros.</w:t>
      </w:r>
    </w:p>
    <w:p w14:paraId="621B44B3" w14:textId="77777777" w:rsidR="002B0869"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4B278103" w14:textId="77777777" w:rsidR="002B0869" w:rsidRDefault="002B0869" w:rsidP="002B0869">
      <w:pPr>
        <w:spacing w:before="0" w:after="0"/>
        <w:rPr>
          <w:rFonts w:eastAsia="Calibri" w:cs="Times New Roman"/>
          <w:bCs/>
          <w:sz w:val="22"/>
          <w:szCs w:val="22"/>
          <w:lang w:val="es-MX"/>
        </w:rPr>
      </w:pPr>
    </w:p>
    <w:p w14:paraId="458D1ED7" w14:textId="77777777" w:rsidR="002B0869" w:rsidRPr="00035D40" w:rsidRDefault="002B0869" w:rsidP="002B0869">
      <w:pPr>
        <w:spacing w:before="0" w:after="0"/>
        <w:rPr>
          <w:rFonts w:eastAsia="Calibri" w:cs="Times New Roman"/>
          <w:bCs/>
          <w:sz w:val="22"/>
          <w:szCs w:val="22"/>
          <w:lang w:val="es-MX"/>
        </w:rPr>
      </w:pPr>
    </w:p>
    <w:p w14:paraId="51E4F446" w14:textId="77777777" w:rsidR="002B0869" w:rsidRPr="00035D40" w:rsidRDefault="002B0869" w:rsidP="002B0869">
      <w:pPr>
        <w:spacing w:before="0" w:after="0"/>
        <w:rPr>
          <w:rFonts w:eastAsia="Calibri" w:cs="Times New Roman"/>
          <w:b/>
          <w:bCs/>
          <w:sz w:val="22"/>
          <w:szCs w:val="22"/>
          <w:lang w:val="es-MX"/>
        </w:rPr>
      </w:pPr>
      <w:r w:rsidRPr="00035D40">
        <w:rPr>
          <w:rFonts w:eastAsia="Calibri" w:cs="Times New Roman"/>
          <w:b/>
          <w:bCs/>
          <w:sz w:val="22"/>
          <w:szCs w:val="22"/>
          <w:lang w:val="es-MX"/>
        </w:rPr>
        <w:t>2. Por tipo de emisión de instrumento: monto, tasa y vencimiento.</w:t>
      </w:r>
    </w:p>
    <w:p w14:paraId="577BF6EC" w14:textId="77777777" w:rsidR="002B0869"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49BC9F3D" w14:textId="77777777" w:rsidR="002B0869" w:rsidRPr="00035D40" w:rsidRDefault="002B0869" w:rsidP="002B0869">
      <w:pPr>
        <w:spacing w:before="0" w:after="0"/>
        <w:rPr>
          <w:rFonts w:eastAsia="Calibri" w:cs="Times New Roman"/>
          <w:bCs/>
          <w:sz w:val="22"/>
          <w:szCs w:val="22"/>
          <w:lang w:val="es-MX"/>
        </w:rPr>
      </w:pPr>
    </w:p>
    <w:p w14:paraId="6435C964" w14:textId="77777777" w:rsidR="002B0869" w:rsidRPr="00035D40" w:rsidRDefault="002B0869" w:rsidP="002B0869">
      <w:pPr>
        <w:spacing w:before="0" w:after="0"/>
        <w:rPr>
          <w:rFonts w:eastAsia="Calibri" w:cs="Times New Roman"/>
          <w:b/>
          <w:bCs/>
          <w:sz w:val="22"/>
          <w:szCs w:val="22"/>
          <w:lang w:val="es-MX"/>
        </w:rPr>
      </w:pPr>
      <w:r w:rsidRPr="00035D40">
        <w:rPr>
          <w:rFonts w:eastAsia="Calibri" w:cs="Times New Roman"/>
          <w:b/>
          <w:bCs/>
          <w:sz w:val="22"/>
          <w:szCs w:val="22"/>
          <w:lang w:val="es-MX"/>
        </w:rPr>
        <w:t>3. Los contratos firmados de construcciones por tipo de contrato.</w:t>
      </w:r>
    </w:p>
    <w:p w14:paraId="7E7BE02F" w14:textId="77777777" w:rsidR="002B0869" w:rsidRPr="00035D40"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t>Sin información que revelar durante el periodo que se informa.</w:t>
      </w:r>
    </w:p>
    <w:p w14:paraId="715469A0" w14:textId="77777777" w:rsidR="002B0869" w:rsidRPr="00035D40" w:rsidRDefault="002B0869" w:rsidP="002B0869">
      <w:pPr>
        <w:spacing w:before="0" w:after="0"/>
        <w:rPr>
          <w:rFonts w:eastAsia="Calibri" w:cs="Times New Roman"/>
          <w:bCs/>
          <w:sz w:val="22"/>
          <w:szCs w:val="22"/>
          <w:lang w:val="es-MX"/>
        </w:rPr>
      </w:pPr>
    </w:p>
    <w:p w14:paraId="4E651762" w14:textId="77777777" w:rsidR="002B0869" w:rsidRPr="00035D40"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t>No se presentan otro tipo de cuentas de orden contable.</w:t>
      </w:r>
    </w:p>
    <w:p w14:paraId="173EF8F9" w14:textId="77777777" w:rsidR="002B0869" w:rsidRPr="00035D40" w:rsidRDefault="002B0869" w:rsidP="002B0869">
      <w:pPr>
        <w:spacing w:before="0" w:after="0"/>
        <w:rPr>
          <w:rFonts w:eastAsia="Calibri" w:cs="Times New Roman"/>
          <w:bCs/>
          <w:sz w:val="22"/>
          <w:szCs w:val="22"/>
          <w:lang w:val="es-MX"/>
        </w:rPr>
      </w:pPr>
    </w:p>
    <w:p w14:paraId="65E23149" w14:textId="77777777" w:rsidR="002B0869" w:rsidRDefault="002B0869" w:rsidP="002B0869">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Presupuestario</w:t>
      </w:r>
    </w:p>
    <w:p w14:paraId="3189ACA4" w14:textId="77777777" w:rsidR="002B0869" w:rsidRPr="00035D40" w:rsidRDefault="002B0869" w:rsidP="002B0869">
      <w:pPr>
        <w:spacing w:before="0" w:after="0"/>
        <w:rPr>
          <w:rFonts w:eastAsia="Calibri" w:cs="Times New Roman"/>
          <w:b/>
          <w:bCs/>
          <w:sz w:val="22"/>
          <w:szCs w:val="22"/>
          <w:lang w:val="es-MX"/>
        </w:rPr>
      </w:pPr>
    </w:p>
    <w:p w14:paraId="09B0D15E" w14:textId="77777777" w:rsidR="002B0869" w:rsidRDefault="002B0869" w:rsidP="002B0869">
      <w:pPr>
        <w:spacing w:before="0" w:after="0"/>
        <w:rPr>
          <w:rFonts w:eastAsia="Calibri" w:cs="Times New Roman"/>
          <w:b/>
          <w:bCs/>
          <w:sz w:val="22"/>
          <w:szCs w:val="22"/>
          <w:lang w:val="es-MX"/>
        </w:rPr>
      </w:pPr>
      <w:r w:rsidRPr="00035D40">
        <w:rPr>
          <w:rFonts w:eastAsia="Calibri" w:cs="Times New Roman"/>
          <w:b/>
          <w:bCs/>
          <w:sz w:val="22"/>
          <w:szCs w:val="22"/>
          <w:lang w:val="es-MX"/>
        </w:rPr>
        <w:t>Cuentas de ingresos</w:t>
      </w:r>
    </w:p>
    <w:p w14:paraId="5F5CC90E" w14:textId="77777777" w:rsidR="002B0869" w:rsidRPr="00035D40" w:rsidRDefault="002B0869" w:rsidP="002B0869">
      <w:pPr>
        <w:spacing w:before="0" w:after="0"/>
        <w:rPr>
          <w:rFonts w:eastAsia="Calibri" w:cs="Times New Roman"/>
          <w:b/>
          <w:bCs/>
          <w:sz w:val="22"/>
          <w:szCs w:val="22"/>
          <w:lang w:val="es-MX"/>
        </w:rPr>
      </w:pPr>
    </w:p>
    <w:p w14:paraId="059A09FD" w14:textId="77777777" w:rsidR="002B0869"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Ingresos</w:t>
      </w:r>
    </w:p>
    <w:p w14:paraId="017DD19B" w14:textId="77777777" w:rsidR="002B0869" w:rsidRPr="00035D40" w:rsidRDefault="002B0869" w:rsidP="002B0869">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2B0869" w:rsidRPr="00035D40" w14:paraId="4B0EBC19" w14:textId="77777777" w:rsidTr="00C229F8">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2DEDE9B" w14:textId="77777777" w:rsidR="002B0869" w:rsidRPr="00035D40" w:rsidRDefault="002B0869" w:rsidP="00C229F8">
            <w:pPr>
              <w:spacing w:before="0" w:after="0"/>
              <w:rPr>
                <w:rFonts w:eastAsia="Calibri" w:cs="Times New Roman"/>
                <w:b/>
                <w:bCs/>
                <w:sz w:val="22"/>
                <w:szCs w:val="22"/>
              </w:rPr>
            </w:pPr>
            <w:r w:rsidRPr="00035D40">
              <w:rPr>
                <w:rFonts w:eastAsia="Calibri" w:cs="Times New Roman"/>
                <w:b/>
                <w:bCs/>
                <w:sz w:val="22"/>
                <w:szCs w:val="22"/>
              </w:rPr>
              <w:t>Cuentas de Orden Presupuestarias de Ingresos</w:t>
            </w:r>
          </w:p>
        </w:tc>
      </w:tr>
      <w:tr w:rsidR="002B0869" w:rsidRPr="00035D40" w14:paraId="420BFCE3" w14:textId="77777777" w:rsidTr="00C229F8">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52DD95" w14:textId="77777777" w:rsidR="002B0869" w:rsidRPr="00035D40" w:rsidRDefault="002B0869" w:rsidP="00C229F8">
            <w:pPr>
              <w:spacing w:before="0" w:after="0"/>
              <w:rPr>
                <w:rFonts w:eastAsia="Calibri" w:cs="Times New Roman"/>
                <w:b/>
                <w:bCs/>
                <w:sz w:val="22"/>
                <w:szCs w:val="22"/>
              </w:rPr>
            </w:pPr>
            <w:r w:rsidRPr="00035D40">
              <w:rPr>
                <w:rFonts w:eastAsia="Calibri" w:cs="Times New Roman"/>
                <w:b/>
                <w:bCs/>
                <w:sz w:val="22"/>
                <w:szCs w:val="22"/>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90B5014" w14:textId="77777777" w:rsidR="002B0869" w:rsidRPr="00035D40" w:rsidRDefault="002B0869" w:rsidP="00C229F8">
            <w:pPr>
              <w:spacing w:before="0" w:after="0"/>
              <w:rPr>
                <w:rFonts w:eastAsia="Calibri" w:cs="Times New Roman"/>
                <w:b/>
                <w:bCs/>
                <w:sz w:val="22"/>
                <w:szCs w:val="22"/>
              </w:rPr>
            </w:pPr>
            <w:r w:rsidRPr="00035D40">
              <w:rPr>
                <w:rFonts w:eastAsia="Calibri" w:cs="Times New Roman"/>
                <w:b/>
                <w:bCs/>
                <w:sz w:val="22"/>
                <w:szCs w:val="22"/>
              </w:rPr>
              <w:t>202</w:t>
            </w:r>
            <w:r>
              <w:rPr>
                <w:rFonts w:eastAsia="Calibri" w:cs="Times New Roman"/>
                <w:b/>
                <w:bCs/>
                <w:sz w:val="22"/>
                <w:szCs w:val="22"/>
              </w:rPr>
              <w:t>5</w:t>
            </w:r>
          </w:p>
        </w:tc>
      </w:tr>
      <w:tr w:rsidR="002B0869" w:rsidRPr="00035D40" w14:paraId="28C0008D"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16069" w14:textId="77777777" w:rsidR="002B0869" w:rsidRPr="00035D40" w:rsidRDefault="002B0869" w:rsidP="00C229F8">
            <w:pPr>
              <w:spacing w:before="0" w:after="0"/>
              <w:rPr>
                <w:rFonts w:eastAsia="Calibri" w:cs="Times New Roman"/>
                <w:bCs/>
                <w:sz w:val="22"/>
                <w:szCs w:val="22"/>
              </w:rPr>
            </w:pPr>
            <w:r w:rsidRPr="00035D40">
              <w:rPr>
                <w:rFonts w:eastAsia="Calibri" w:cs="Times New Roman"/>
                <w:bCs/>
                <w:sz w:val="22"/>
                <w:szCs w:val="22"/>
              </w:rPr>
              <w:t>Ley de Ingresos Estimada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C9515" w14:textId="77777777" w:rsidR="002B0869" w:rsidRPr="00035D40" w:rsidRDefault="002B0869" w:rsidP="00C229F8">
            <w:pPr>
              <w:spacing w:before="0" w:after="0"/>
              <w:rPr>
                <w:rFonts w:eastAsia="Calibri" w:cs="Times New Roman"/>
                <w:bCs/>
                <w:sz w:val="22"/>
                <w:szCs w:val="22"/>
              </w:rPr>
            </w:pPr>
            <w:r w:rsidRPr="00317B47">
              <w:rPr>
                <w:rFonts w:eastAsia="Calibri" w:cs="Times New Roman"/>
                <w:bCs/>
                <w:sz w:val="22"/>
                <w:szCs w:val="22"/>
              </w:rPr>
              <w:t>98,935,474,315.03</w:t>
            </w:r>
          </w:p>
        </w:tc>
      </w:tr>
      <w:tr w:rsidR="002B0869" w:rsidRPr="00035D40" w14:paraId="3598B57A"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1E45B" w14:textId="77777777" w:rsidR="002B0869" w:rsidRPr="00035D40" w:rsidRDefault="002B0869" w:rsidP="00C229F8">
            <w:pPr>
              <w:spacing w:before="0" w:after="0"/>
              <w:rPr>
                <w:rFonts w:eastAsia="Calibri" w:cs="Times New Roman"/>
                <w:bCs/>
                <w:sz w:val="22"/>
                <w:szCs w:val="22"/>
              </w:rPr>
            </w:pPr>
            <w:r w:rsidRPr="00035D40">
              <w:rPr>
                <w:rFonts w:eastAsia="Calibri" w:cs="Times New Roman"/>
                <w:bCs/>
                <w:sz w:val="22"/>
                <w:szCs w:val="22"/>
              </w:rPr>
              <w:t>Ley de Ingresos por Ejecutar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26DAC" w14:textId="77777777" w:rsidR="002B0869" w:rsidRDefault="002B0869" w:rsidP="00C229F8">
            <w:pPr>
              <w:spacing w:before="0" w:after="0"/>
              <w:rPr>
                <w:rFonts w:eastAsia="Calibri" w:cs="Times New Roman"/>
                <w:bCs/>
                <w:sz w:val="22"/>
                <w:szCs w:val="22"/>
              </w:rPr>
            </w:pPr>
            <w:r>
              <w:rPr>
                <w:rFonts w:eastAsia="Calibri" w:cs="Times New Roman"/>
                <w:bCs/>
                <w:sz w:val="22"/>
                <w:szCs w:val="22"/>
              </w:rPr>
              <w:t>48,982,664,964.76</w:t>
            </w:r>
          </w:p>
          <w:p w14:paraId="21362791" w14:textId="77777777" w:rsidR="002B0869" w:rsidRPr="00035D40" w:rsidRDefault="002B0869" w:rsidP="00C229F8">
            <w:pPr>
              <w:spacing w:before="0" w:after="0"/>
              <w:rPr>
                <w:rFonts w:eastAsia="Calibri" w:cs="Times New Roman"/>
                <w:bCs/>
                <w:sz w:val="22"/>
                <w:szCs w:val="22"/>
              </w:rPr>
            </w:pPr>
          </w:p>
        </w:tc>
      </w:tr>
      <w:tr w:rsidR="002B0869" w:rsidRPr="00035D40" w14:paraId="07A21E03"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6CDF4" w14:textId="77777777" w:rsidR="002B0869" w:rsidRPr="00035D40" w:rsidRDefault="002B0869" w:rsidP="00C229F8">
            <w:pPr>
              <w:spacing w:before="0" w:after="0"/>
              <w:rPr>
                <w:rFonts w:eastAsia="Calibri" w:cs="Times New Roman"/>
                <w:bCs/>
                <w:sz w:val="22"/>
                <w:szCs w:val="22"/>
              </w:rPr>
            </w:pPr>
            <w:r w:rsidRPr="00035D40">
              <w:rPr>
                <w:rFonts w:eastAsia="Calibri" w:cs="Times New Roman"/>
                <w:bCs/>
                <w:sz w:val="22"/>
                <w:szCs w:val="22"/>
              </w:rPr>
              <w:t>Modificaciones a la Ley de Ingresos Estimada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7F22A" w14:textId="77777777" w:rsidR="002B0869" w:rsidRPr="00035D40" w:rsidRDefault="002B0869" w:rsidP="00C229F8">
            <w:pPr>
              <w:spacing w:before="0" w:after="0"/>
              <w:rPr>
                <w:rFonts w:eastAsia="Calibri" w:cs="Times New Roman"/>
                <w:bCs/>
                <w:sz w:val="22"/>
                <w:szCs w:val="22"/>
              </w:rPr>
            </w:pPr>
            <w:r w:rsidRPr="00317B47">
              <w:rPr>
                <w:rFonts w:eastAsia="Calibri" w:cs="Times New Roman"/>
                <w:bCs/>
                <w:sz w:val="22"/>
                <w:szCs w:val="22"/>
              </w:rPr>
              <w:t>10</w:t>
            </w:r>
            <w:r>
              <w:rPr>
                <w:rFonts w:eastAsia="Calibri" w:cs="Times New Roman"/>
                <w:bCs/>
                <w:sz w:val="22"/>
                <w:szCs w:val="22"/>
              </w:rPr>
              <w:t>3,601,803,656.85</w:t>
            </w:r>
          </w:p>
        </w:tc>
      </w:tr>
      <w:tr w:rsidR="002B0869" w:rsidRPr="00035D40" w14:paraId="229D3B5F"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660A2A" w14:textId="77777777" w:rsidR="002B0869" w:rsidRPr="00035D40" w:rsidRDefault="002B0869" w:rsidP="00C229F8">
            <w:pPr>
              <w:spacing w:before="0" w:after="0"/>
              <w:rPr>
                <w:rFonts w:eastAsia="Calibri" w:cs="Times New Roman"/>
                <w:bCs/>
                <w:sz w:val="22"/>
                <w:szCs w:val="22"/>
              </w:rPr>
            </w:pPr>
            <w:r w:rsidRPr="00035D40">
              <w:rPr>
                <w:rFonts w:eastAsia="Calibri" w:cs="Times New Roman"/>
                <w:bCs/>
                <w:sz w:val="22"/>
                <w:szCs w:val="22"/>
              </w:rPr>
              <w:t>Ley de Ingresos Devengada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0EC7C" w14:textId="77777777" w:rsidR="002B0869" w:rsidRPr="00035D40" w:rsidRDefault="002B0869" w:rsidP="00C229F8">
            <w:pPr>
              <w:spacing w:before="0" w:after="0"/>
              <w:rPr>
                <w:rFonts w:eastAsia="Calibri" w:cs="Times New Roman"/>
                <w:bCs/>
                <w:sz w:val="22"/>
                <w:szCs w:val="22"/>
              </w:rPr>
            </w:pPr>
            <w:r>
              <w:rPr>
                <w:rFonts w:eastAsia="Calibri" w:cs="Times New Roman"/>
                <w:bCs/>
                <w:sz w:val="22"/>
                <w:szCs w:val="22"/>
              </w:rPr>
              <w:t>54,619,138,692.09</w:t>
            </w:r>
          </w:p>
        </w:tc>
      </w:tr>
      <w:tr w:rsidR="002B0869" w:rsidRPr="00035D40" w14:paraId="0DB4C089"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B7BC4" w14:textId="77777777" w:rsidR="002B0869" w:rsidRPr="00035D40" w:rsidRDefault="002B0869" w:rsidP="00C229F8">
            <w:pPr>
              <w:spacing w:before="0" w:after="0"/>
              <w:rPr>
                <w:rFonts w:eastAsia="Calibri" w:cs="Times New Roman"/>
                <w:bCs/>
                <w:sz w:val="22"/>
                <w:szCs w:val="22"/>
              </w:rPr>
            </w:pPr>
            <w:r w:rsidRPr="00035D40">
              <w:rPr>
                <w:rFonts w:eastAsia="Calibri" w:cs="Times New Roman"/>
                <w:bCs/>
                <w:sz w:val="22"/>
                <w:szCs w:val="22"/>
              </w:rPr>
              <w:t>Ley de Ingresos Recaudada</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7AFEC" w14:textId="77777777" w:rsidR="002B0869" w:rsidRPr="00035D40" w:rsidRDefault="002B0869" w:rsidP="00C229F8">
            <w:pPr>
              <w:spacing w:before="0" w:after="0"/>
              <w:rPr>
                <w:rFonts w:eastAsia="Calibri" w:cs="Times New Roman"/>
                <w:bCs/>
                <w:sz w:val="22"/>
                <w:szCs w:val="22"/>
              </w:rPr>
            </w:pPr>
            <w:r>
              <w:rPr>
                <w:rFonts w:eastAsia="Calibri" w:cs="Times New Roman"/>
                <w:bCs/>
                <w:sz w:val="22"/>
                <w:szCs w:val="22"/>
              </w:rPr>
              <w:t>54,619,138,692.09</w:t>
            </w:r>
          </w:p>
        </w:tc>
      </w:tr>
    </w:tbl>
    <w:p w14:paraId="6A4B0C67" w14:textId="77777777" w:rsidR="002B0869" w:rsidRDefault="002B0869" w:rsidP="002B0869">
      <w:pPr>
        <w:spacing w:before="0" w:after="0"/>
        <w:rPr>
          <w:rFonts w:eastAsia="Calibri" w:cs="Times New Roman"/>
          <w:b/>
          <w:bCs/>
          <w:sz w:val="22"/>
          <w:szCs w:val="22"/>
          <w:lang w:val="es-MX"/>
        </w:rPr>
      </w:pPr>
    </w:p>
    <w:p w14:paraId="5C27B3F1" w14:textId="77777777" w:rsidR="002B0869" w:rsidRDefault="002B0869" w:rsidP="002B0869">
      <w:pPr>
        <w:spacing w:before="0" w:after="0"/>
        <w:rPr>
          <w:rFonts w:eastAsia="Calibri" w:cs="Times New Roman"/>
          <w:b/>
          <w:bCs/>
          <w:sz w:val="22"/>
          <w:szCs w:val="22"/>
          <w:lang w:val="es-MX"/>
        </w:rPr>
      </w:pPr>
    </w:p>
    <w:p w14:paraId="2D410665" w14:textId="77777777" w:rsidR="002B0869" w:rsidRDefault="002B0869" w:rsidP="002B0869">
      <w:pPr>
        <w:spacing w:before="0" w:after="0"/>
        <w:rPr>
          <w:rFonts w:eastAsia="Calibri" w:cs="Times New Roman"/>
          <w:b/>
          <w:bCs/>
          <w:sz w:val="22"/>
          <w:szCs w:val="22"/>
          <w:lang w:val="es-MX"/>
        </w:rPr>
      </w:pPr>
      <w:bookmarkStart w:id="3" w:name="_GoBack"/>
      <w:bookmarkEnd w:id="3"/>
    </w:p>
    <w:p w14:paraId="329F0D62" w14:textId="77777777" w:rsidR="002B0869" w:rsidRPr="00035D40" w:rsidRDefault="002B0869" w:rsidP="002B0869">
      <w:pPr>
        <w:spacing w:before="0" w:after="0"/>
        <w:rPr>
          <w:rFonts w:eastAsia="Calibri" w:cs="Times New Roman"/>
          <w:b/>
          <w:bCs/>
          <w:sz w:val="22"/>
          <w:szCs w:val="22"/>
          <w:lang w:val="es-MX"/>
        </w:rPr>
      </w:pPr>
      <w:r w:rsidRPr="00035D40">
        <w:rPr>
          <w:rFonts w:eastAsia="Calibri" w:cs="Times New Roman"/>
          <w:b/>
          <w:bCs/>
          <w:sz w:val="22"/>
          <w:szCs w:val="22"/>
          <w:lang w:val="es-MX"/>
        </w:rPr>
        <w:lastRenderedPageBreak/>
        <w:t>Cuentas de egresos</w:t>
      </w:r>
    </w:p>
    <w:p w14:paraId="1AD14763" w14:textId="77777777" w:rsidR="002B0869" w:rsidRDefault="002B0869" w:rsidP="002B0869">
      <w:pPr>
        <w:spacing w:before="0" w:after="0"/>
        <w:rPr>
          <w:rFonts w:eastAsia="Calibri" w:cs="Times New Roman"/>
          <w:bCs/>
          <w:sz w:val="22"/>
          <w:szCs w:val="22"/>
          <w:lang w:val="es-MX"/>
        </w:rPr>
      </w:pPr>
    </w:p>
    <w:p w14:paraId="69AC722F" w14:textId="77777777" w:rsidR="002B0869" w:rsidRDefault="002B0869" w:rsidP="002B0869">
      <w:pPr>
        <w:spacing w:before="0" w:after="0"/>
        <w:rPr>
          <w:rFonts w:eastAsia="Calibri" w:cs="Times New Roman"/>
          <w:bCs/>
          <w:sz w:val="22"/>
          <w:szCs w:val="22"/>
          <w:lang w:val="es-MX"/>
        </w:rPr>
      </w:pPr>
      <w:r w:rsidRPr="00035D40">
        <w:rPr>
          <w:rFonts w:eastAsia="Calibri" w:cs="Times New Roman"/>
          <w:bCs/>
          <w:sz w:val="22"/>
          <w:szCs w:val="22"/>
          <w:lang w:val="es-MX"/>
        </w:rPr>
        <w:t>Cuentas de Orden Presupuestarias de egresos</w:t>
      </w:r>
    </w:p>
    <w:p w14:paraId="17A57162" w14:textId="77777777" w:rsidR="002B0869" w:rsidRDefault="002B0869" w:rsidP="002B0869">
      <w:pPr>
        <w:spacing w:before="0" w:after="0"/>
        <w:rPr>
          <w:rFonts w:eastAsia="Calibri" w:cs="Times New Roman"/>
          <w:bCs/>
          <w:sz w:val="22"/>
          <w:szCs w:val="22"/>
          <w:lang w:val="es-MX"/>
        </w:rPr>
      </w:pPr>
    </w:p>
    <w:p w14:paraId="40FB7D31" w14:textId="77777777" w:rsidR="002B0869" w:rsidRPr="00035D40" w:rsidRDefault="002B0869" w:rsidP="002B0869">
      <w:pPr>
        <w:spacing w:before="0" w:after="0"/>
        <w:rPr>
          <w:rFonts w:eastAsia="Calibri" w:cs="Times New Roman"/>
          <w:bCs/>
          <w:sz w:val="22"/>
          <w:szCs w:val="22"/>
          <w:lang w:val="es-MX"/>
        </w:rPr>
      </w:pPr>
    </w:p>
    <w:tbl>
      <w:tblPr>
        <w:tblW w:w="6031" w:type="dxa"/>
        <w:tblInd w:w="1023" w:type="dxa"/>
        <w:tblCellMar>
          <w:left w:w="10" w:type="dxa"/>
          <w:right w:w="10" w:type="dxa"/>
        </w:tblCellMar>
        <w:tblLook w:val="04A0" w:firstRow="1" w:lastRow="0" w:firstColumn="1" w:lastColumn="0" w:noHBand="0" w:noVBand="1"/>
      </w:tblPr>
      <w:tblGrid>
        <w:gridCol w:w="3438"/>
        <w:gridCol w:w="2593"/>
      </w:tblGrid>
      <w:tr w:rsidR="002B0869" w:rsidRPr="00035D40" w14:paraId="620CB371" w14:textId="77777777" w:rsidTr="00C229F8">
        <w:tc>
          <w:tcPr>
            <w:tcW w:w="603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FE8A4F" w14:textId="77777777" w:rsidR="002B0869" w:rsidRPr="00035D40" w:rsidRDefault="002B0869" w:rsidP="00C229F8">
            <w:pPr>
              <w:spacing w:before="0" w:after="0"/>
              <w:rPr>
                <w:rFonts w:eastAsia="Calibri" w:cs="Times New Roman"/>
                <w:b/>
                <w:bCs/>
                <w:sz w:val="22"/>
                <w:szCs w:val="22"/>
                <w:lang w:val="es-MX"/>
              </w:rPr>
            </w:pPr>
            <w:r w:rsidRPr="00035D40">
              <w:rPr>
                <w:rFonts w:eastAsia="Calibri" w:cs="Times New Roman"/>
                <w:b/>
                <w:bCs/>
                <w:sz w:val="22"/>
                <w:szCs w:val="22"/>
                <w:lang w:val="es-MX"/>
              </w:rPr>
              <w:t>Cuentas de Orden Presupuestarias de Egresos</w:t>
            </w:r>
          </w:p>
        </w:tc>
      </w:tr>
      <w:tr w:rsidR="002B0869" w:rsidRPr="00035D40" w14:paraId="6BF12425" w14:textId="77777777" w:rsidTr="00C229F8">
        <w:tc>
          <w:tcPr>
            <w:tcW w:w="404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C4CDF7A" w14:textId="77777777" w:rsidR="002B0869" w:rsidRPr="00035D40" w:rsidRDefault="002B0869" w:rsidP="00C229F8">
            <w:pPr>
              <w:spacing w:before="0" w:after="0"/>
              <w:rPr>
                <w:rFonts w:eastAsia="Calibri" w:cs="Times New Roman"/>
                <w:b/>
                <w:bCs/>
                <w:sz w:val="22"/>
                <w:szCs w:val="22"/>
                <w:lang w:val="es-MX"/>
              </w:rPr>
            </w:pPr>
            <w:r w:rsidRPr="00035D40">
              <w:rPr>
                <w:rFonts w:eastAsia="Calibri" w:cs="Times New Roman"/>
                <w:b/>
                <w:bCs/>
                <w:sz w:val="22"/>
                <w:szCs w:val="22"/>
                <w:lang w:val="es-MX"/>
              </w:rPr>
              <w:t>Concepto</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26149A" w14:textId="77777777" w:rsidR="002B0869" w:rsidRPr="00035D40" w:rsidRDefault="002B0869" w:rsidP="00C229F8">
            <w:pPr>
              <w:spacing w:before="0" w:after="0"/>
              <w:rPr>
                <w:rFonts w:eastAsia="Calibri" w:cs="Times New Roman"/>
                <w:b/>
                <w:bCs/>
                <w:sz w:val="22"/>
                <w:szCs w:val="22"/>
                <w:lang w:val="es-MX"/>
              </w:rPr>
            </w:pPr>
            <w:r w:rsidRPr="00035D40">
              <w:rPr>
                <w:rFonts w:eastAsia="Calibri" w:cs="Times New Roman"/>
                <w:b/>
                <w:bCs/>
                <w:sz w:val="22"/>
                <w:szCs w:val="22"/>
                <w:lang w:val="es-MX"/>
              </w:rPr>
              <w:t>202</w:t>
            </w:r>
            <w:r>
              <w:rPr>
                <w:rFonts w:eastAsia="Calibri" w:cs="Times New Roman"/>
                <w:b/>
                <w:bCs/>
                <w:sz w:val="22"/>
                <w:szCs w:val="22"/>
                <w:lang w:val="es-MX"/>
              </w:rPr>
              <w:t>5</w:t>
            </w:r>
          </w:p>
        </w:tc>
      </w:tr>
      <w:tr w:rsidR="002B0869" w:rsidRPr="00035D40" w14:paraId="7D32379E"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4953B" w14:textId="77777777" w:rsidR="002B0869" w:rsidRPr="00035D40" w:rsidRDefault="002B0869" w:rsidP="00C229F8">
            <w:pPr>
              <w:spacing w:before="0" w:after="0"/>
              <w:rPr>
                <w:rFonts w:eastAsia="Calibri" w:cs="Times New Roman"/>
                <w:bCs/>
                <w:sz w:val="22"/>
                <w:szCs w:val="22"/>
                <w:lang w:val="es-MX"/>
              </w:rPr>
            </w:pPr>
            <w:r w:rsidRPr="00035D40">
              <w:rPr>
                <w:rFonts w:eastAsia="Calibri" w:cs="Times New Roman"/>
                <w:bCs/>
                <w:sz w:val="22"/>
                <w:szCs w:val="22"/>
                <w:lang w:val="es-MX"/>
              </w:rPr>
              <w:t>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DC097" w14:textId="77777777" w:rsidR="002B0869" w:rsidRPr="00035D40" w:rsidRDefault="002B0869" w:rsidP="00C229F8">
            <w:pPr>
              <w:spacing w:before="0" w:after="0"/>
              <w:rPr>
                <w:rFonts w:eastAsia="Calibri" w:cs="Times New Roman"/>
                <w:bCs/>
                <w:sz w:val="22"/>
                <w:szCs w:val="22"/>
                <w:lang w:val="es-MX"/>
              </w:rPr>
            </w:pPr>
            <w:r w:rsidRPr="00317B47">
              <w:rPr>
                <w:rFonts w:eastAsia="Calibri" w:cs="Times New Roman"/>
                <w:bCs/>
                <w:sz w:val="22"/>
                <w:szCs w:val="22"/>
                <w:lang w:val="es-MX"/>
              </w:rPr>
              <w:t>98,935,474,315.00</w:t>
            </w:r>
          </w:p>
        </w:tc>
      </w:tr>
      <w:tr w:rsidR="002B0869" w:rsidRPr="00035D40" w14:paraId="378378A3"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CB5A4" w14:textId="77777777" w:rsidR="002B0869" w:rsidRPr="00076855" w:rsidRDefault="002B0869" w:rsidP="00C229F8">
            <w:pPr>
              <w:spacing w:before="0" w:after="0"/>
              <w:rPr>
                <w:rFonts w:eastAsia="Calibri" w:cs="Times New Roman"/>
                <w:bCs/>
                <w:sz w:val="22"/>
                <w:szCs w:val="22"/>
                <w:lang w:val="es-MX"/>
              </w:rPr>
            </w:pPr>
            <w:r w:rsidRPr="00076855">
              <w:rPr>
                <w:rFonts w:eastAsia="Calibri" w:cs="Times New Roman"/>
                <w:bCs/>
                <w:sz w:val="22"/>
                <w:szCs w:val="22"/>
                <w:lang w:val="es-MX"/>
              </w:rPr>
              <w:t>Presupuesto de Egresos por Ejercer</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11730" w14:textId="77777777" w:rsidR="002B0869" w:rsidRPr="00076855" w:rsidRDefault="002B0869" w:rsidP="00C229F8">
            <w:pPr>
              <w:spacing w:before="0" w:after="0"/>
              <w:rPr>
                <w:rFonts w:eastAsia="Calibri" w:cs="Times New Roman"/>
                <w:bCs/>
                <w:sz w:val="22"/>
                <w:szCs w:val="22"/>
                <w:lang w:val="es-MX"/>
              </w:rPr>
            </w:pPr>
            <w:r w:rsidRPr="00076855">
              <w:rPr>
                <w:rFonts w:eastAsia="Calibri" w:cs="Times New Roman"/>
                <w:bCs/>
                <w:sz w:val="22"/>
                <w:szCs w:val="22"/>
                <w:lang w:val="es-MX"/>
              </w:rPr>
              <w:t>54,667,690,304.85</w:t>
            </w:r>
          </w:p>
        </w:tc>
      </w:tr>
      <w:tr w:rsidR="002B0869" w:rsidRPr="00035D40" w14:paraId="5C3374AA"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7C3C8" w14:textId="77777777" w:rsidR="002B0869" w:rsidRPr="00035D40" w:rsidRDefault="002B0869" w:rsidP="00C229F8">
            <w:pPr>
              <w:spacing w:before="0" w:after="0"/>
              <w:rPr>
                <w:rFonts w:eastAsia="Calibri" w:cs="Times New Roman"/>
                <w:bCs/>
                <w:sz w:val="22"/>
                <w:szCs w:val="22"/>
                <w:lang w:val="es-MX"/>
              </w:rPr>
            </w:pPr>
            <w:r w:rsidRPr="00035D40">
              <w:rPr>
                <w:rFonts w:eastAsia="Calibri" w:cs="Times New Roman"/>
                <w:bCs/>
                <w:sz w:val="22"/>
                <w:szCs w:val="22"/>
                <w:lang w:val="es-MX"/>
              </w:rPr>
              <w:t>Modificaciones al Presupuesto de Egresos Aprobado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E9CD6" w14:textId="77777777" w:rsidR="002B0869" w:rsidRPr="00035D40" w:rsidRDefault="002B0869" w:rsidP="00C229F8">
            <w:pPr>
              <w:spacing w:before="0" w:after="0"/>
              <w:rPr>
                <w:rFonts w:eastAsia="Calibri" w:cs="Times New Roman"/>
                <w:bCs/>
                <w:sz w:val="22"/>
                <w:szCs w:val="22"/>
                <w:lang w:val="es-MX"/>
              </w:rPr>
            </w:pPr>
            <w:r w:rsidRPr="00317B47">
              <w:rPr>
                <w:rFonts w:eastAsia="Calibri" w:cs="Times New Roman"/>
                <w:bCs/>
                <w:sz w:val="22"/>
                <w:szCs w:val="22"/>
                <w:lang w:val="es-MX"/>
              </w:rPr>
              <w:t>10</w:t>
            </w:r>
            <w:r>
              <w:rPr>
                <w:rFonts w:eastAsia="Calibri" w:cs="Times New Roman"/>
                <w:bCs/>
                <w:sz w:val="22"/>
                <w:szCs w:val="22"/>
                <w:lang w:val="es-MX"/>
              </w:rPr>
              <w:t>4,001,503,974.86</w:t>
            </w:r>
          </w:p>
        </w:tc>
      </w:tr>
      <w:tr w:rsidR="002B0869" w:rsidRPr="00035D40" w14:paraId="5C809B05"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F7D11" w14:textId="77777777" w:rsidR="002B0869" w:rsidRPr="00035D40" w:rsidRDefault="002B0869" w:rsidP="00C229F8">
            <w:pPr>
              <w:spacing w:before="0" w:after="0"/>
              <w:rPr>
                <w:rFonts w:eastAsia="Calibri" w:cs="Times New Roman"/>
                <w:bCs/>
                <w:sz w:val="22"/>
                <w:szCs w:val="22"/>
                <w:lang w:val="es-MX"/>
              </w:rPr>
            </w:pPr>
            <w:r w:rsidRPr="00035D40">
              <w:rPr>
                <w:rFonts w:eastAsia="Calibri" w:cs="Times New Roman"/>
                <w:bCs/>
                <w:sz w:val="22"/>
                <w:szCs w:val="22"/>
                <w:lang w:val="es-MX"/>
              </w:rPr>
              <w:t>Presupuesto de Egresos Comprometido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DD0D1" w14:textId="77777777" w:rsidR="002B0869" w:rsidRPr="00035D40" w:rsidRDefault="002B0869" w:rsidP="00C229F8">
            <w:pPr>
              <w:spacing w:before="0" w:after="0"/>
              <w:rPr>
                <w:rFonts w:eastAsia="Calibri" w:cs="Times New Roman"/>
                <w:bCs/>
                <w:sz w:val="22"/>
                <w:szCs w:val="22"/>
                <w:lang w:val="es-MX"/>
              </w:rPr>
            </w:pPr>
            <w:r>
              <w:rPr>
                <w:rFonts w:eastAsia="Calibri" w:cs="Times New Roman"/>
                <w:bCs/>
                <w:sz w:val="22"/>
                <w:szCs w:val="22"/>
                <w:lang w:val="es-MX"/>
              </w:rPr>
              <w:t>49,333,813,670.01</w:t>
            </w:r>
          </w:p>
        </w:tc>
      </w:tr>
      <w:tr w:rsidR="002B0869" w:rsidRPr="00035D40" w14:paraId="08A91DD3"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7F864" w14:textId="77777777" w:rsidR="002B0869" w:rsidRPr="00035D40" w:rsidRDefault="002B0869" w:rsidP="00C229F8">
            <w:pPr>
              <w:spacing w:before="0" w:after="0"/>
              <w:rPr>
                <w:rFonts w:eastAsia="Calibri" w:cs="Times New Roman"/>
                <w:bCs/>
                <w:sz w:val="22"/>
                <w:szCs w:val="22"/>
                <w:lang w:val="es-MX"/>
              </w:rPr>
            </w:pPr>
            <w:r w:rsidRPr="00035D40">
              <w:rPr>
                <w:rFonts w:eastAsia="Calibri" w:cs="Times New Roman"/>
                <w:bCs/>
                <w:sz w:val="22"/>
                <w:szCs w:val="22"/>
                <w:lang w:val="es-MX"/>
              </w:rPr>
              <w:t>Presupuesto de Egresos Devengado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90EB8C" w14:textId="77777777" w:rsidR="002B0869" w:rsidRPr="00035D40" w:rsidRDefault="002B0869" w:rsidP="00C229F8">
            <w:pPr>
              <w:spacing w:before="0" w:after="0"/>
              <w:rPr>
                <w:rFonts w:eastAsia="Calibri" w:cs="Times New Roman"/>
                <w:bCs/>
                <w:sz w:val="22"/>
                <w:szCs w:val="22"/>
                <w:lang w:val="es-MX"/>
              </w:rPr>
            </w:pPr>
            <w:r>
              <w:rPr>
                <w:rFonts w:eastAsia="Calibri" w:cs="Times New Roman"/>
                <w:bCs/>
                <w:sz w:val="22"/>
                <w:szCs w:val="22"/>
                <w:lang w:val="es-MX"/>
              </w:rPr>
              <w:t>49,333,813,670.01</w:t>
            </w:r>
          </w:p>
        </w:tc>
      </w:tr>
      <w:tr w:rsidR="002B0869" w:rsidRPr="00035D40" w14:paraId="6F5C9AE3"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E9D176" w14:textId="77777777" w:rsidR="002B0869" w:rsidRPr="00035D40" w:rsidRDefault="002B0869" w:rsidP="00C229F8">
            <w:pPr>
              <w:spacing w:before="0" w:after="0"/>
              <w:rPr>
                <w:rFonts w:eastAsia="Calibri" w:cs="Times New Roman"/>
                <w:bCs/>
                <w:sz w:val="22"/>
                <w:szCs w:val="22"/>
                <w:lang w:val="es-MX"/>
              </w:rPr>
            </w:pPr>
            <w:r w:rsidRPr="00035D40">
              <w:rPr>
                <w:rFonts w:eastAsia="Calibri" w:cs="Times New Roman"/>
                <w:bCs/>
                <w:sz w:val="22"/>
                <w:szCs w:val="22"/>
                <w:lang w:val="es-MX"/>
              </w:rPr>
              <w:t>Presupuesto de Egresos Ejercido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58358" w14:textId="77777777" w:rsidR="002B0869" w:rsidRPr="00035D40" w:rsidRDefault="002B0869" w:rsidP="00C229F8">
            <w:pPr>
              <w:spacing w:before="0" w:after="0"/>
              <w:rPr>
                <w:rFonts w:eastAsia="Calibri" w:cs="Times New Roman"/>
                <w:bCs/>
                <w:sz w:val="22"/>
                <w:szCs w:val="22"/>
                <w:lang w:val="es-MX"/>
              </w:rPr>
            </w:pPr>
            <w:r>
              <w:rPr>
                <w:rFonts w:eastAsia="Calibri" w:cs="Times New Roman"/>
                <w:bCs/>
                <w:sz w:val="22"/>
                <w:szCs w:val="22"/>
                <w:lang w:val="es-MX"/>
              </w:rPr>
              <w:t>49,333,813,670.01</w:t>
            </w:r>
          </w:p>
        </w:tc>
      </w:tr>
      <w:tr w:rsidR="002B0869" w:rsidRPr="00035D40" w14:paraId="1AB1377F" w14:textId="77777777" w:rsidTr="00C229F8">
        <w:tc>
          <w:tcPr>
            <w:tcW w:w="40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EE116" w14:textId="77777777" w:rsidR="002B0869" w:rsidRPr="00035D40" w:rsidRDefault="002B0869" w:rsidP="00C229F8">
            <w:pPr>
              <w:spacing w:before="0" w:after="0"/>
              <w:rPr>
                <w:rFonts w:eastAsia="Calibri" w:cs="Times New Roman"/>
                <w:bCs/>
                <w:sz w:val="22"/>
                <w:szCs w:val="22"/>
                <w:lang w:val="es-MX"/>
              </w:rPr>
            </w:pPr>
            <w:r w:rsidRPr="00035D40">
              <w:rPr>
                <w:rFonts w:eastAsia="Calibri" w:cs="Times New Roman"/>
                <w:bCs/>
                <w:sz w:val="22"/>
                <w:szCs w:val="22"/>
                <w:lang w:val="es-MX"/>
              </w:rPr>
              <w:t>Presupuesto de Egresos Pagado</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DF51E" w14:textId="77777777" w:rsidR="002B0869" w:rsidRPr="00035D40" w:rsidRDefault="002B0869" w:rsidP="00C229F8">
            <w:pPr>
              <w:spacing w:before="0" w:after="0"/>
              <w:rPr>
                <w:rFonts w:eastAsia="Calibri" w:cs="Times New Roman"/>
                <w:bCs/>
                <w:sz w:val="22"/>
                <w:szCs w:val="22"/>
                <w:lang w:val="es-MX"/>
              </w:rPr>
            </w:pPr>
            <w:r>
              <w:rPr>
                <w:rFonts w:eastAsia="Calibri" w:cs="Times New Roman"/>
                <w:bCs/>
                <w:sz w:val="22"/>
                <w:szCs w:val="22"/>
                <w:lang w:val="es-MX"/>
              </w:rPr>
              <w:t>48,567,529,063.55</w:t>
            </w:r>
          </w:p>
        </w:tc>
      </w:tr>
    </w:tbl>
    <w:p w14:paraId="1BAAD470" w14:textId="77777777" w:rsidR="002B0869" w:rsidRPr="00035D40" w:rsidRDefault="002B0869" w:rsidP="002B0869">
      <w:pPr>
        <w:spacing w:before="0" w:after="0"/>
        <w:rPr>
          <w:rFonts w:eastAsia="Calibri" w:cs="Times New Roman"/>
          <w:bCs/>
          <w:sz w:val="22"/>
          <w:szCs w:val="22"/>
          <w:lang w:val="es-MX"/>
        </w:rPr>
      </w:pPr>
    </w:p>
    <w:p w14:paraId="03A4833D" w14:textId="77777777" w:rsidR="002B0869" w:rsidRDefault="002B0869" w:rsidP="002B0869">
      <w:pPr>
        <w:spacing w:before="0" w:after="0"/>
        <w:rPr>
          <w:rFonts w:eastAsia="Calibri" w:cs="Times New Roman"/>
          <w:bCs/>
          <w:sz w:val="22"/>
          <w:szCs w:val="22"/>
        </w:rPr>
      </w:pPr>
    </w:p>
    <w:p w14:paraId="594B77A0" w14:textId="77777777" w:rsidR="002B0869" w:rsidRDefault="002B0869" w:rsidP="002B0869">
      <w:pPr>
        <w:spacing w:before="0" w:after="0"/>
        <w:rPr>
          <w:rFonts w:eastAsia="Calibri" w:cs="Times New Roman"/>
          <w:bCs/>
          <w:sz w:val="22"/>
          <w:szCs w:val="22"/>
        </w:rPr>
      </w:pPr>
    </w:p>
    <w:p w14:paraId="3F39255E" w14:textId="77777777" w:rsidR="002B0869" w:rsidRPr="005D257C" w:rsidRDefault="002B0869" w:rsidP="002B0869">
      <w:pPr>
        <w:spacing w:before="0" w:after="0"/>
        <w:rPr>
          <w:rFonts w:eastAsia="Calibri" w:cs="Times New Roman"/>
          <w:bCs/>
          <w:sz w:val="22"/>
          <w:szCs w:val="22"/>
        </w:rPr>
      </w:pPr>
    </w:p>
    <w:p w14:paraId="0E5B64BD" w14:textId="77777777" w:rsidR="002B0869" w:rsidRPr="005D257C" w:rsidRDefault="002B0869" w:rsidP="002B0869">
      <w:pPr>
        <w:spacing w:before="0" w:after="0" w:line="276" w:lineRule="auto"/>
        <w:jc w:val="center"/>
        <w:rPr>
          <w:rFonts w:eastAsia="Calibri" w:cs="Times New Roman"/>
          <w:bCs/>
          <w:sz w:val="22"/>
          <w:szCs w:val="22"/>
        </w:rPr>
      </w:pPr>
      <w:r w:rsidRPr="005D257C">
        <w:rPr>
          <w:rFonts w:eastAsia="Calibri" w:cs="Times New Roman"/>
          <w:bCs/>
          <w:sz w:val="22"/>
          <w:szCs w:val="22"/>
        </w:rPr>
        <w:t>______________________________</w:t>
      </w:r>
    </w:p>
    <w:p w14:paraId="6334551D" w14:textId="77777777" w:rsidR="002B0869" w:rsidRPr="005D257C" w:rsidRDefault="002B0869" w:rsidP="002B0869">
      <w:pPr>
        <w:spacing w:line="276" w:lineRule="auto"/>
        <w:jc w:val="center"/>
        <w:rPr>
          <w:rFonts w:eastAsia="Calibri" w:cs="Times New Roman"/>
          <w:bCs/>
          <w:sz w:val="22"/>
          <w:szCs w:val="22"/>
        </w:rPr>
      </w:pPr>
      <w:r w:rsidRPr="005D257C">
        <w:rPr>
          <w:rFonts w:eastAsia="Calibri" w:cs="Times New Roman"/>
          <w:bCs/>
          <w:sz w:val="22"/>
          <w:szCs w:val="22"/>
        </w:rPr>
        <w:t>DR. GUSTAVO OBLEA ROSALES</w:t>
      </w:r>
    </w:p>
    <w:p w14:paraId="69B22B0D" w14:textId="77777777" w:rsidR="002B0869" w:rsidRPr="005D257C" w:rsidRDefault="002B0869" w:rsidP="002B0869">
      <w:pPr>
        <w:spacing w:line="276" w:lineRule="auto"/>
        <w:jc w:val="center"/>
        <w:rPr>
          <w:rFonts w:eastAsia="Calibri" w:cs="Times New Roman"/>
          <w:bCs/>
          <w:sz w:val="22"/>
          <w:szCs w:val="22"/>
        </w:rPr>
      </w:pPr>
      <w:r w:rsidRPr="005D257C">
        <w:rPr>
          <w:rFonts w:eastAsia="Calibri" w:cs="Times New Roman"/>
          <w:bCs/>
          <w:sz w:val="22"/>
          <w:szCs w:val="22"/>
        </w:rPr>
        <w:t>DIRECTOR DE CONTABILIDAD GUBERNAMENTAL</w:t>
      </w:r>
    </w:p>
    <w:p w14:paraId="732A72AD" w14:textId="77777777" w:rsidR="002B0869" w:rsidRPr="005D257C" w:rsidRDefault="002B0869" w:rsidP="002B0869">
      <w:pPr>
        <w:spacing w:before="0" w:after="0"/>
        <w:jc w:val="left"/>
        <w:rPr>
          <w:rFonts w:eastAsia="Calibri" w:cs="Times New Roman"/>
          <w:bCs/>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B0869" w:rsidRPr="005D257C" w14:paraId="101D9CA1" w14:textId="77777777" w:rsidTr="00C229F8">
        <w:tc>
          <w:tcPr>
            <w:tcW w:w="9992" w:type="dxa"/>
          </w:tcPr>
          <w:p w14:paraId="3E7E58B3" w14:textId="77777777" w:rsidR="002B0869" w:rsidRPr="005D257C" w:rsidRDefault="002B0869" w:rsidP="00C229F8">
            <w:pPr>
              <w:jc w:val="center"/>
              <w:rPr>
                <w:rFonts w:eastAsia="Calibri" w:cs="Times New Roman"/>
                <w:bCs/>
              </w:rPr>
            </w:pPr>
            <w:r w:rsidRPr="005D257C">
              <w:t>“</w:t>
            </w:r>
            <w:r w:rsidRPr="005D257C">
              <w:rPr>
                <w:rFonts w:eastAsia="Calibri" w:cs="Times New Roman"/>
                <w:bCs/>
              </w:rPr>
              <w:t>Bajo protesta de decir verdad declaro que los Estados Financieros y sus notas, son razonablemente correctos y son responsabilidad del emisor”</w:t>
            </w:r>
          </w:p>
        </w:tc>
      </w:tr>
    </w:tbl>
    <w:p w14:paraId="5C2736BB" w14:textId="64945A2A" w:rsidR="00995380" w:rsidRDefault="00995380" w:rsidP="007A56F0"/>
    <w:sectPr w:rsidR="00995380">
      <w:headerReference w:type="default" r:id="rId51"/>
      <w:footerReference w:type="default" r:id="rId5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D99AA" w14:textId="77777777" w:rsidR="000D0AA5" w:rsidRDefault="000D0AA5" w:rsidP="00995380">
      <w:pPr>
        <w:spacing w:before="0" w:after="0" w:line="240" w:lineRule="auto"/>
      </w:pPr>
      <w:r>
        <w:separator/>
      </w:r>
    </w:p>
  </w:endnote>
  <w:endnote w:type="continuationSeparator" w:id="0">
    <w:p w14:paraId="62DDC6E1" w14:textId="77777777" w:rsidR="000D0AA5" w:rsidRDefault="000D0AA5" w:rsidP="009953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ExtraLight">
    <w:altName w:val="Calibri"/>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B2FD4" w14:textId="77777777" w:rsidR="00C229F8" w:rsidRDefault="00C229F8">
    <w:pPr>
      <w:pStyle w:val="Piedepgina"/>
    </w:pPr>
    <w:r>
      <w:rPr>
        <w:noProof/>
        <w:lang w:val="es-MX" w:eastAsia="es-MX"/>
      </w:rPr>
      <w:drawing>
        <wp:anchor distT="0" distB="0" distL="114300" distR="114300" simplePos="0" relativeHeight="251663360" behindDoc="1" locked="0" layoutInCell="1" allowOverlap="1" wp14:anchorId="52817F35" wp14:editId="4CF9F0CB">
          <wp:simplePos x="0" y="0"/>
          <wp:positionH relativeFrom="page">
            <wp:align>left</wp:align>
          </wp:positionH>
          <wp:positionV relativeFrom="paragraph">
            <wp:posOffset>200025</wp:posOffset>
          </wp:positionV>
          <wp:extent cx="7808540" cy="408305"/>
          <wp:effectExtent l="0" t="0" r="254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0EF56" w14:textId="77777777" w:rsidR="000D0AA5" w:rsidRDefault="000D0AA5" w:rsidP="00995380">
      <w:pPr>
        <w:spacing w:before="0" w:after="0" w:line="240" w:lineRule="auto"/>
      </w:pPr>
      <w:r>
        <w:separator/>
      </w:r>
    </w:p>
  </w:footnote>
  <w:footnote w:type="continuationSeparator" w:id="0">
    <w:p w14:paraId="383BF770" w14:textId="77777777" w:rsidR="000D0AA5" w:rsidRDefault="000D0AA5" w:rsidP="00995380">
      <w:pPr>
        <w:spacing w:before="0" w:after="0" w:line="240" w:lineRule="auto"/>
      </w:pPr>
      <w:r>
        <w:continuationSeparator/>
      </w:r>
    </w:p>
  </w:footnote>
  <w:footnote w:id="1">
    <w:p w14:paraId="6A6FB44D" w14:textId="77777777" w:rsidR="00C229F8" w:rsidRPr="00350031" w:rsidRDefault="00C229F8" w:rsidP="002B0869">
      <w:pPr>
        <w:pStyle w:val="Textonotapie"/>
        <w:rPr>
          <w:lang w:val="es-MX"/>
        </w:rPr>
      </w:pPr>
      <w:r>
        <w:rPr>
          <w:rStyle w:val="Refdenotaalpie"/>
        </w:rPr>
        <w:footnoteRef/>
      </w:r>
      <w:r>
        <w:t xml:space="preserve"> Fuente: </w:t>
      </w:r>
      <w:r w:rsidRPr="00350031">
        <w:t>https://www.banxico.org.mx/publicaciones-y-prensa/informes-trimestrales/%7B5602B6D6-713F-F7D6-67D8-68719CD24538%7D.pdf</w:t>
      </w:r>
    </w:p>
  </w:footnote>
  <w:footnote w:id="2">
    <w:p w14:paraId="5A64D18D" w14:textId="77777777" w:rsidR="00C229F8" w:rsidRPr="00350031" w:rsidRDefault="00C229F8" w:rsidP="002B0869">
      <w:pPr>
        <w:pStyle w:val="Textonotapie"/>
        <w:rPr>
          <w:lang w:val="es-MX"/>
        </w:rPr>
      </w:pPr>
      <w:r>
        <w:rPr>
          <w:rStyle w:val="Refdenotaalpie"/>
        </w:rPr>
        <w:footnoteRef/>
      </w:r>
      <w:r>
        <w:t xml:space="preserve"> Fuente: </w:t>
      </w:r>
      <w:r w:rsidRPr="00350031">
        <w:t>https://www.inegi.org.mx/contenidos/saladeprensa/boletines/2025/itaee/itaee2025_07_Mich.pdf</w:t>
      </w:r>
    </w:p>
  </w:footnote>
  <w:footnote w:id="3">
    <w:p w14:paraId="68C7F76B" w14:textId="77777777" w:rsidR="00C229F8" w:rsidRPr="00350031" w:rsidRDefault="00C229F8" w:rsidP="002B0869">
      <w:pPr>
        <w:pStyle w:val="Textonotapie"/>
        <w:rPr>
          <w:lang w:val="es-MX"/>
        </w:rPr>
      </w:pPr>
      <w:r>
        <w:rPr>
          <w:rStyle w:val="Refdenotaalpie"/>
        </w:rPr>
        <w:footnoteRef/>
      </w:r>
      <w:r>
        <w:t xml:space="preserve"> Fuente: </w:t>
      </w:r>
      <w:r w:rsidRPr="00350031">
        <w:t>https://www.inegi.org.mx/contenidos/saladeprensa/boletines/2025/enoe/enoe2025_05_Mich.pdf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F3B1D" w14:textId="77777777" w:rsidR="00C229F8" w:rsidRDefault="00C229F8">
    <w:pPr>
      <w:pStyle w:val="Encabezado"/>
    </w:pPr>
    <w:r>
      <w:rPr>
        <w:noProof/>
        <w:lang w:val="es-MX" w:eastAsia="es-MX"/>
      </w:rPr>
      <mc:AlternateContent>
        <mc:Choice Requires="wps">
          <w:drawing>
            <wp:anchor distT="45720" distB="45720" distL="114300" distR="114300" simplePos="0" relativeHeight="251667456" behindDoc="0" locked="0" layoutInCell="1" allowOverlap="1" wp14:anchorId="0D11CBF8" wp14:editId="7ECAA449">
              <wp:simplePos x="0" y="0"/>
              <wp:positionH relativeFrom="margin">
                <wp:align>center</wp:align>
              </wp:positionH>
              <wp:positionV relativeFrom="paragraph">
                <wp:posOffset>-116840</wp:posOffset>
              </wp:positionV>
              <wp:extent cx="310134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400050"/>
                      </a:xfrm>
                      <a:prstGeom prst="rect">
                        <a:avLst/>
                      </a:prstGeom>
                      <a:noFill/>
                      <a:ln w="9525">
                        <a:noFill/>
                        <a:miter lim="800000"/>
                        <a:headEnd/>
                        <a:tailEnd/>
                      </a:ln>
                    </wps:spPr>
                    <wps:txbx>
                      <w:txbxContent>
                        <w:p w14:paraId="2B9772BD" w14:textId="77777777" w:rsidR="00C229F8" w:rsidRPr="005A0923" w:rsidRDefault="00C229F8" w:rsidP="0011774C">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Segundo</w:t>
                          </w:r>
                          <w:r w:rsidRPr="005A0923">
                            <w:rPr>
                              <w:rFonts w:ascii="Calibri" w:hAnsi="Calibri" w:cs="Calibri"/>
                              <w:b/>
                              <w:bCs/>
                              <w:i/>
                              <w:iCs/>
                              <w:color w:val="FFE1E9"/>
                              <w:sz w:val="40"/>
                              <w:szCs w:val="40"/>
                            </w:rPr>
                            <w:t xml:space="preserve"> Trimestre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1CBF8" id="_x0000_t202" coordsize="21600,21600" o:spt="202" path="m,l,21600r21600,l21600,xe">
              <v:stroke joinstyle="miter"/>
              <v:path gradientshapeok="t" o:connecttype="rect"/>
            </v:shapetype>
            <v:shape id="Text Box 2" o:spid="_x0000_s1026" type="#_x0000_t202" style="position:absolute;left:0;text-align:left;margin-left:0;margin-top:-9.2pt;width:244.2pt;height:31.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" filled="f" stroked="f">
              <v:textbox>
                <w:txbxContent>
                  <w:p w14:paraId="2B9772BD" w14:textId="77777777" w:rsidR="00C229F8" w:rsidRPr="005A0923" w:rsidRDefault="00C229F8" w:rsidP="0011774C">
                    <w:pPr>
                      <w:spacing w:before="0" w:after="160" w:line="259" w:lineRule="auto"/>
                      <w:jc w:val="center"/>
                      <w:rPr>
                        <w:rFonts w:ascii="Calibri" w:hAnsi="Calibri" w:cs="Calibri"/>
                        <w:b/>
                        <w:bCs/>
                        <w:i/>
                        <w:iCs/>
                        <w:color w:val="FFE1E9"/>
                        <w:sz w:val="40"/>
                        <w:szCs w:val="40"/>
                      </w:rPr>
                    </w:pPr>
                    <w:r>
                      <w:rPr>
                        <w:rFonts w:ascii="Calibri" w:hAnsi="Calibri" w:cs="Calibri"/>
                        <w:b/>
                        <w:bCs/>
                        <w:i/>
                        <w:iCs/>
                        <w:color w:val="FFE1E9"/>
                        <w:sz w:val="40"/>
                        <w:szCs w:val="40"/>
                      </w:rPr>
                      <w:t>Segundo</w:t>
                    </w:r>
                    <w:r w:rsidRPr="005A0923">
                      <w:rPr>
                        <w:rFonts w:ascii="Calibri" w:hAnsi="Calibri" w:cs="Calibri"/>
                        <w:b/>
                        <w:bCs/>
                        <w:i/>
                        <w:iCs/>
                        <w:color w:val="FFE1E9"/>
                        <w:sz w:val="40"/>
                        <w:szCs w:val="40"/>
                      </w:rPr>
                      <w:t xml:space="preserve"> Trimestre 2025</w:t>
                    </w:r>
                  </w:p>
                </w:txbxContent>
              </v:textbox>
              <w10:wrap anchorx="margin"/>
            </v:shape>
          </w:pict>
        </mc:Fallback>
      </mc:AlternateContent>
    </w:r>
    <w:r>
      <w:rPr>
        <w:noProof/>
        <w:lang w:val="es-MX" w:eastAsia="es-MX"/>
      </w:rPr>
      <w:drawing>
        <wp:anchor distT="0" distB="0" distL="114300" distR="114300" simplePos="0" relativeHeight="251665408" behindDoc="1" locked="0" layoutInCell="1" allowOverlap="1" wp14:anchorId="3F0D7164" wp14:editId="01C3E053">
          <wp:simplePos x="0" y="0"/>
          <wp:positionH relativeFrom="margin">
            <wp:align>center</wp:align>
          </wp:positionH>
          <wp:positionV relativeFrom="paragraph">
            <wp:posOffset>-344805</wp:posOffset>
          </wp:positionV>
          <wp:extent cx="7010400" cy="559435"/>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10400" cy="55943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D19F5"/>
    <w:multiLevelType w:val="hybridMultilevel"/>
    <w:tmpl w:val="FF065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5DD1C17"/>
    <w:multiLevelType w:val="multilevel"/>
    <w:tmpl w:val="A020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C5185"/>
    <w:multiLevelType w:val="hybridMultilevel"/>
    <w:tmpl w:val="946A15F0"/>
    <w:lvl w:ilvl="0" w:tplc="DED2B99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1D113F"/>
    <w:multiLevelType w:val="hybridMultilevel"/>
    <w:tmpl w:val="A5DC7AA8"/>
    <w:lvl w:ilvl="0" w:tplc="289A259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4C1EB6"/>
    <w:multiLevelType w:val="hybridMultilevel"/>
    <w:tmpl w:val="C5980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A313EF"/>
    <w:multiLevelType w:val="hybridMultilevel"/>
    <w:tmpl w:val="A126AF02"/>
    <w:lvl w:ilvl="0" w:tplc="8D6035F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4"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5"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142A8D"/>
    <w:multiLevelType w:val="hybridMultilevel"/>
    <w:tmpl w:val="BABC6506"/>
    <w:lvl w:ilvl="0" w:tplc="A2B47C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AF35C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0" w15:restartNumberingAfterBreak="0">
    <w:nsid w:val="4F5E1768"/>
    <w:multiLevelType w:val="multilevel"/>
    <w:tmpl w:val="4CAC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B85A2B"/>
    <w:multiLevelType w:val="hybridMultilevel"/>
    <w:tmpl w:val="BA2CBE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8E34AB"/>
    <w:multiLevelType w:val="hybridMultilevel"/>
    <w:tmpl w:val="B9FA6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0B4058"/>
    <w:multiLevelType w:val="hybridMultilevel"/>
    <w:tmpl w:val="2C1A3E5A"/>
    <w:lvl w:ilvl="0" w:tplc="80641B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F128C1"/>
    <w:multiLevelType w:val="hybridMultilevel"/>
    <w:tmpl w:val="605E774A"/>
    <w:lvl w:ilvl="0" w:tplc="89A87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53E0E7F"/>
    <w:multiLevelType w:val="hybridMultilevel"/>
    <w:tmpl w:val="9DDEE0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8"/>
  </w:num>
  <w:num w:numId="3">
    <w:abstractNumId w:val="14"/>
  </w:num>
  <w:num w:numId="4">
    <w:abstractNumId w:val="26"/>
  </w:num>
  <w:num w:numId="5">
    <w:abstractNumId w:val="24"/>
  </w:num>
  <w:num w:numId="6">
    <w:abstractNumId w:val="21"/>
  </w:num>
  <w:num w:numId="7">
    <w:abstractNumId w:val="13"/>
  </w:num>
  <w:num w:numId="8">
    <w:abstractNumId w:val="19"/>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1"/>
  </w:num>
  <w:num w:numId="12">
    <w:abstractNumId w:val="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8"/>
  </w:num>
  <w:num w:numId="16">
    <w:abstractNumId w:val="25"/>
  </w:num>
  <w:num w:numId="17">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2"/>
  </w:num>
  <w:num w:numId="23">
    <w:abstractNumId w:val="3"/>
  </w:num>
  <w:num w:numId="24">
    <w:abstractNumId w:val="22"/>
  </w:num>
  <w:num w:numId="25">
    <w:abstractNumId w:val="9"/>
  </w:num>
  <w:num w:numId="26">
    <w:abstractNumId w:val="10"/>
  </w:num>
  <w:num w:numId="27">
    <w:abstractNumId w:val="30"/>
  </w:num>
  <w:num w:numId="28">
    <w:abstractNumId w:val="7"/>
  </w:num>
  <w:num w:numId="29">
    <w:abstractNumId w:val="0"/>
  </w:num>
  <w:num w:numId="30">
    <w:abstractNumId w:val="28"/>
  </w:num>
  <w:num w:numId="31">
    <w:abstractNumId w:val="16"/>
  </w:num>
  <w:num w:numId="32">
    <w:abstractNumId w:val="27"/>
  </w:num>
  <w:num w:numId="33">
    <w:abstractNumId w:val="17"/>
  </w:num>
  <w:num w:numId="34">
    <w:abstractNumId w:val="23"/>
  </w:num>
  <w:num w:numId="35">
    <w:abstractNumId w:val="2"/>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380"/>
    <w:rsid w:val="00086633"/>
    <w:rsid w:val="000A1EF3"/>
    <w:rsid w:val="000A4E0E"/>
    <w:rsid w:val="000B0413"/>
    <w:rsid w:val="000B26B4"/>
    <w:rsid w:val="000D0AA5"/>
    <w:rsid w:val="0011774C"/>
    <w:rsid w:val="00182D04"/>
    <w:rsid w:val="001A3375"/>
    <w:rsid w:val="0021275B"/>
    <w:rsid w:val="002176DB"/>
    <w:rsid w:val="00231ECA"/>
    <w:rsid w:val="0027472E"/>
    <w:rsid w:val="002B0869"/>
    <w:rsid w:val="002C6C33"/>
    <w:rsid w:val="003377B8"/>
    <w:rsid w:val="00342874"/>
    <w:rsid w:val="00350031"/>
    <w:rsid w:val="003A24DB"/>
    <w:rsid w:val="0044783F"/>
    <w:rsid w:val="004676A1"/>
    <w:rsid w:val="004D0D2F"/>
    <w:rsid w:val="004D6EFD"/>
    <w:rsid w:val="004D72A0"/>
    <w:rsid w:val="00540C64"/>
    <w:rsid w:val="00567362"/>
    <w:rsid w:val="005915A6"/>
    <w:rsid w:val="005F2267"/>
    <w:rsid w:val="006369E6"/>
    <w:rsid w:val="00677CBF"/>
    <w:rsid w:val="00693C3B"/>
    <w:rsid w:val="006956B2"/>
    <w:rsid w:val="006B6010"/>
    <w:rsid w:val="006D1569"/>
    <w:rsid w:val="007A56F0"/>
    <w:rsid w:val="008C7DA5"/>
    <w:rsid w:val="008D5CC2"/>
    <w:rsid w:val="00900369"/>
    <w:rsid w:val="00922D0E"/>
    <w:rsid w:val="00951763"/>
    <w:rsid w:val="00953B6F"/>
    <w:rsid w:val="00995380"/>
    <w:rsid w:val="009A3DCB"/>
    <w:rsid w:val="009B768E"/>
    <w:rsid w:val="00AF7DC9"/>
    <w:rsid w:val="00B47BF4"/>
    <w:rsid w:val="00B53227"/>
    <w:rsid w:val="00C12393"/>
    <w:rsid w:val="00C229F8"/>
    <w:rsid w:val="00C57B5F"/>
    <w:rsid w:val="00C63F8B"/>
    <w:rsid w:val="00CB0821"/>
    <w:rsid w:val="00CC7891"/>
    <w:rsid w:val="00CD46D7"/>
    <w:rsid w:val="00D0662E"/>
    <w:rsid w:val="00D74FCB"/>
    <w:rsid w:val="00DA3CC2"/>
    <w:rsid w:val="00E20B11"/>
    <w:rsid w:val="00E32CA8"/>
    <w:rsid w:val="00EC742D"/>
    <w:rsid w:val="00F04A00"/>
    <w:rsid w:val="00F21076"/>
    <w:rsid w:val="00F23385"/>
    <w:rsid w:val="00F302ED"/>
    <w:rsid w:val="00F44E49"/>
    <w:rsid w:val="00FA37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D9002"/>
  <w15:chartTrackingRefBased/>
  <w15:docId w15:val="{4D165E42-4893-4ED6-9F91-D3A44D36A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380"/>
    <w:pPr>
      <w:spacing w:before="60" w:after="60" w:line="360" w:lineRule="auto"/>
      <w:jc w:val="both"/>
    </w:pPr>
    <w:rPr>
      <w:rFonts w:ascii="GalanoGrotesque-Light" w:hAnsi="GalanoGrotesque-Light"/>
      <w:sz w:val="24"/>
      <w:szCs w:val="24"/>
      <w:lang w:val="es-ES"/>
    </w:rPr>
  </w:style>
  <w:style w:type="paragraph" w:styleId="Ttulo1">
    <w:name w:val="heading 1"/>
    <w:basedOn w:val="Normal"/>
    <w:next w:val="Normal"/>
    <w:link w:val="Ttulo1Car"/>
    <w:uiPriority w:val="9"/>
    <w:qFormat/>
    <w:rsid w:val="0099538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99538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99538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9953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95380"/>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9538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9538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9538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538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95380"/>
    <w:rPr>
      <w:rFonts w:ascii="GalanoGrotesque-Bold" w:eastAsiaTheme="majorEastAsia" w:hAnsi="GalanoGrotesque-Bold" w:cstheme="majorBidi"/>
      <w:color w:val="000000" w:themeColor="text1"/>
      <w:sz w:val="40"/>
      <w:szCs w:val="32"/>
      <w:lang w:val="es-ES"/>
    </w:rPr>
  </w:style>
  <w:style w:type="character" w:customStyle="1" w:styleId="Ttulo2Car">
    <w:name w:val="Título 2 Car"/>
    <w:basedOn w:val="Fuentedeprrafopredeter"/>
    <w:link w:val="Ttulo2"/>
    <w:uiPriority w:val="9"/>
    <w:rsid w:val="00995380"/>
    <w:rPr>
      <w:rFonts w:ascii="GalanoGrotesque-Bold" w:eastAsiaTheme="majorEastAsia" w:hAnsi="GalanoGrotesque-Bold" w:cstheme="majorBidi"/>
      <w:color w:val="000000" w:themeColor="text1"/>
      <w:sz w:val="32"/>
      <w:szCs w:val="26"/>
      <w:lang w:val="es-ES"/>
    </w:rPr>
  </w:style>
  <w:style w:type="character" w:customStyle="1" w:styleId="Ttulo3Car">
    <w:name w:val="Título 3 Car"/>
    <w:basedOn w:val="Fuentedeprrafopredeter"/>
    <w:link w:val="Ttulo3"/>
    <w:uiPriority w:val="9"/>
    <w:rsid w:val="00995380"/>
    <w:rPr>
      <w:rFonts w:ascii="GalanoGrotesque-Bold" w:eastAsiaTheme="majorEastAsia" w:hAnsi="GalanoGrotesque-Bold" w:cstheme="majorBidi"/>
      <w:sz w:val="28"/>
      <w:szCs w:val="24"/>
      <w:lang w:val="es-ES"/>
    </w:rPr>
  </w:style>
  <w:style w:type="character" w:customStyle="1" w:styleId="Ttulo4Car">
    <w:name w:val="Título 4 Car"/>
    <w:basedOn w:val="Fuentedeprrafopredeter"/>
    <w:link w:val="Ttulo4"/>
    <w:uiPriority w:val="9"/>
    <w:rsid w:val="00995380"/>
    <w:rPr>
      <w:rFonts w:asciiTheme="majorHAnsi" w:eastAsiaTheme="majorEastAsia" w:hAnsiTheme="majorHAnsi" w:cstheme="majorBidi"/>
      <w:i/>
      <w:iCs/>
      <w:color w:val="2E74B5" w:themeColor="accent1" w:themeShade="BF"/>
      <w:sz w:val="24"/>
      <w:szCs w:val="24"/>
      <w:lang w:val="es-ES"/>
    </w:rPr>
  </w:style>
  <w:style w:type="character" w:customStyle="1" w:styleId="Ttulo5Car">
    <w:name w:val="Título 5 Car"/>
    <w:basedOn w:val="Fuentedeprrafopredeter"/>
    <w:link w:val="Ttulo5"/>
    <w:uiPriority w:val="9"/>
    <w:semiHidden/>
    <w:rsid w:val="00995380"/>
    <w:rPr>
      <w:rFonts w:asciiTheme="majorHAnsi" w:eastAsiaTheme="majorEastAsia" w:hAnsiTheme="majorHAnsi" w:cstheme="majorBidi"/>
      <w:color w:val="2E74B5" w:themeColor="accent1" w:themeShade="BF"/>
      <w:sz w:val="24"/>
      <w:szCs w:val="24"/>
      <w:lang w:val="es-ES"/>
    </w:rPr>
  </w:style>
  <w:style w:type="character" w:customStyle="1" w:styleId="Ttulo6Car">
    <w:name w:val="Título 6 Car"/>
    <w:basedOn w:val="Fuentedeprrafopredeter"/>
    <w:link w:val="Ttulo6"/>
    <w:uiPriority w:val="9"/>
    <w:semiHidden/>
    <w:rsid w:val="00995380"/>
    <w:rPr>
      <w:rFonts w:asciiTheme="majorHAnsi" w:eastAsiaTheme="majorEastAsia" w:hAnsiTheme="majorHAnsi" w:cstheme="majorBidi"/>
      <w:color w:val="1F4D78" w:themeColor="accent1" w:themeShade="7F"/>
      <w:sz w:val="24"/>
      <w:szCs w:val="24"/>
      <w:lang w:val="es-ES"/>
    </w:rPr>
  </w:style>
  <w:style w:type="character" w:customStyle="1" w:styleId="Ttulo7Car">
    <w:name w:val="Título 7 Car"/>
    <w:basedOn w:val="Fuentedeprrafopredeter"/>
    <w:link w:val="Ttulo7"/>
    <w:uiPriority w:val="9"/>
    <w:semiHidden/>
    <w:rsid w:val="00995380"/>
    <w:rPr>
      <w:rFonts w:asciiTheme="majorHAnsi" w:eastAsiaTheme="majorEastAsia" w:hAnsiTheme="majorHAnsi" w:cstheme="majorBidi"/>
      <w:i/>
      <w:iCs/>
      <w:color w:val="1F4D78" w:themeColor="accent1" w:themeShade="7F"/>
      <w:sz w:val="24"/>
      <w:szCs w:val="24"/>
      <w:lang w:val="es-ES"/>
    </w:rPr>
  </w:style>
  <w:style w:type="character" w:customStyle="1" w:styleId="Ttulo8Car">
    <w:name w:val="Título 8 Car"/>
    <w:basedOn w:val="Fuentedeprrafopredeter"/>
    <w:link w:val="Ttulo8"/>
    <w:uiPriority w:val="9"/>
    <w:semiHidden/>
    <w:rsid w:val="00995380"/>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995380"/>
    <w:rPr>
      <w:rFonts w:asciiTheme="majorHAnsi" w:eastAsiaTheme="majorEastAsia" w:hAnsiTheme="majorHAnsi" w:cstheme="majorBidi"/>
      <w:i/>
      <w:iCs/>
      <w:color w:val="272727" w:themeColor="text1" w:themeTint="D8"/>
      <w:sz w:val="21"/>
      <w:szCs w:val="21"/>
      <w:lang w:val="es-ES"/>
    </w:rPr>
  </w:style>
  <w:style w:type="paragraph" w:styleId="Encabezado">
    <w:name w:val="header"/>
    <w:basedOn w:val="Normal"/>
    <w:link w:val="EncabezadoCar"/>
    <w:uiPriority w:val="99"/>
    <w:unhideWhenUsed/>
    <w:rsid w:val="00995380"/>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995380"/>
    <w:rPr>
      <w:rFonts w:ascii="GalanoGrotesque-Light" w:hAnsi="GalanoGrotesque-Light"/>
      <w:sz w:val="24"/>
      <w:szCs w:val="24"/>
      <w:lang w:val="es-ES"/>
    </w:rPr>
  </w:style>
  <w:style w:type="paragraph" w:styleId="Piedepgina">
    <w:name w:val="footer"/>
    <w:basedOn w:val="Normal"/>
    <w:link w:val="PiedepginaCar"/>
    <w:uiPriority w:val="99"/>
    <w:unhideWhenUsed/>
    <w:rsid w:val="00995380"/>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995380"/>
    <w:rPr>
      <w:rFonts w:ascii="GalanoGrotesque-Light" w:hAnsi="GalanoGrotesque-Light"/>
      <w:sz w:val="24"/>
      <w:szCs w:val="24"/>
      <w:lang w:val="es-ES"/>
    </w:rPr>
  </w:style>
  <w:style w:type="paragraph" w:styleId="Sinespaciado">
    <w:name w:val="No Spacing"/>
    <w:link w:val="SinespaciadoCar"/>
    <w:uiPriority w:val="1"/>
    <w:qFormat/>
    <w:rsid w:val="00995380"/>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995380"/>
    <w:rPr>
      <w:rFonts w:eastAsiaTheme="minorEastAsia"/>
      <w:lang w:val="es-ES" w:eastAsia="es-ES"/>
    </w:rPr>
  </w:style>
  <w:style w:type="numbering" w:customStyle="1" w:styleId="CtaPub">
    <w:name w:val="CtaPub"/>
    <w:uiPriority w:val="99"/>
    <w:rsid w:val="00995380"/>
    <w:pPr>
      <w:numPr>
        <w:numId w:val="1"/>
      </w:numPr>
    </w:pPr>
  </w:style>
  <w:style w:type="paragraph" w:styleId="TDC1">
    <w:name w:val="toc 1"/>
    <w:basedOn w:val="Normal"/>
    <w:next w:val="Normal"/>
    <w:autoRedefine/>
    <w:uiPriority w:val="39"/>
    <w:unhideWhenUsed/>
    <w:rsid w:val="00995380"/>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995380"/>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995380"/>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995380"/>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995380"/>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995380"/>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995380"/>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995380"/>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995380"/>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995380"/>
    <w:rPr>
      <w:color w:val="0563C1" w:themeColor="hyperlink"/>
      <w:u w:val="single"/>
    </w:rPr>
  </w:style>
  <w:style w:type="paragraph" w:styleId="Textodeglobo">
    <w:name w:val="Balloon Text"/>
    <w:basedOn w:val="Normal"/>
    <w:link w:val="TextodegloboCar"/>
    <w:uiPriority w:val="99"/>
    <w:semiHidden/>
    <w:unhideWhenUsed/>
    <w:rsid w:val="0099538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5380"/>
    <w:rPr>
      <w:rFonts w:ascii="Segoe UI" w:hAnsi="Segoe UI" w:cs="Segoe UI"/>
      <w:sz w:val="18"/>
      <w:szCs w:val="18"/>
      <w:lang w:val="es-ES"/>
    </w:rPr>
  </w:style>
  <w:style w:type="paragraph" w:styleId="TtulodeTDC">
    <w:name w:val="TOC Heading"/>
    <w:basedOn w:val="Ttulo1"/>
    <w:next w:val="Normal"/>
    <w:uiPriority w:val="39"/>
    <w:unhideWhenUsed/>
    <w:qFormat/>
    <w:rsid w:val="00995380"/>
    <w:pPr>
      <w:spacing w:line="259" w:lineRule="auto"/>
      <w:jc w:val="left"/>
      <w:outlineLvl w:val="9"/>
    </w:pPr>
    <w:rPr>
      <w:rFonts w:asciiTheme="majorHAnsi" w:hAnsiTheme="majorHAnsi"/>
      <w:color w:val="2E74B5" w:themeColor="accent1" w:themeShade="BF"/>
      <w:sz w:val="32"/>
      <w:lang w:eastAsia="es-ES"/>
    </w:rPr>
  </w:style>
  <w:style w:type="paragraph" w:styleId="Prrafodelista">
    <w:name w:val="List Paragraph"/>
    <w:basedOn w:val="Normal"/>
    <w:link w:val="PrrafodelistaCar"/>
    <w:uiPriority w:val="34"/>
    <w:qFormat/>
    <w:rsid w:val="00995380"/>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995380"/>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995380"/>
    <w:rPr>
      <w:rFonts w:ascii="Arial" w:eastAsia="Arial" w:hAnsi="Arial"/>
      <w:noProof/>
      <w:sz w:val="20"/>
      <w:szCs w:val="20"/>
      <w:lang w:val="es-ES"/>
    </w:rPr>
  </w:style>
  <w:style w:type="character" w:styleId="Refdecomentario">
    <w:name w:val="annotation reference"/>
    <w:basedOn w:val="Fuentedeprrafopredeter"/>
    <w:uiPriority w:val="99"/>
    <w:semiHidden/>
    <w:unhideWhenUsed/>
    <w:rsid w:val="00995380"/>
    <w:rPr>
      <w:sz w:val="16"/>
      <w:szCs w:val="16"/>
    </w:rPr>
  </w:style>
  <w:style w:type="paragraph" w:styleId="Textocomentario">
    <w:name w:val="annotation text"/>
    <w:basedOn w:val="Normal"/>
    <w:link w:val="TextocomentarioCar"/>
    <w:uiPriority w:val="99"/>
    <w:unhideWhenUsed/>
    <w:rsid w:val="00995380"/>
    <w:pPr>
      <w:spacing w:line="240" w:lineRule="auto"/>
    </w:pPr>
    <w:rPr>
      <w:sz w:val="20"/>
      <w:szCs w:val="20"/>
    </w:rPr>
  </w:style>
  <w:style w:type="character" w:customStyle="1" w:styleId="TextocomentarioCar">
    <w:name w:val="Texto comentario Car"/>
    <w:basedOn w:val="Fuentedeprrafopredeter"/>
    <w:link w:val="Textocomentario"/>
    <w:uiPriority w:val="99"/>
    <w:rsid w:val="00995380"/>
    <w:rPr>
      <w:rFonts w:ascii="GalanoGrotesque-Light" w:hAnsi="GalanoGrotesque-Light"/>
      <w:sz w:val="20"/>
      <w:szCs w:val="20"/>
      <w:lang w:val="es-ES"/>
    </w:rPr>
  </w:style>
  <w:style w:type="paragraph" w:styleId="Asuntodelcomentario">
    <w:name w:val="annotation subject"/>
    <w:basedOn w:val="Textocomentario"/>
    <w:next w:val="Textocomentario"/>
    <w:link w:val="AsuntodelcomentarioCar"/>
    <w:uiPriority w:val="99"/>
    <w:semiHidden/>
    <w:unhideWhenUsed/>
    <w:rsid w:val="00995380"/>
    <w:rPr>
      <w:b/>
      <w:bCs/>
    </w:rPr>
  </w:style>
  <w:style w:type="character" w:customStyle="1" w:styleId="AsuntodelcomentarioCar">
    <w:name w:val="Asunto del comentario Car"/>
    <w:basedOn w:val="TextocomentarioCar"/>
    <w:link w:val="Asuntodelcomentario"/>
    <w:uiPriority w:val="99"/>
    <w:semiHidden/>
    <w:rsid w:val="00995380"/>
    <w:rPr>
      <w:rFonts w:ascii="GalanoGrotesque-Light" w:hAnsi="GalanoGrotesque-Light"/>
      <w:b/>
      <w:bCs/>
      <w:sz w:val="20"/>
      <w:szCs w:val="20"/>
      <w:lang w:val="es-ES"/>
    </w:rPr>
  </w:style>
  <w:style w:type="table" w:customStyle="1" w:styleId="TableNormal1">
    <w:name w:val="Table Normal1"/>
    <w:uiPriority w:val="2"/>
    <w:semiHidden/>
    <w:unhideWhenUsed/>
    <w:qFormat/>
    <w:rsid w:val="0099538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95380"/>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995380"/>
    <w:pPr>
      <w:numPr>
        <w:numId w:val="4"/>
      </w:numPr>
    </w:pPr>
  </w:style>
  <w:style w:type="paragraph" w:styleId="Descripcin">
    <w:name w:val="caption"/>
    <w:basedOn w:val="Normal"/>
    <w:next w:val="Normal"/>
    <w:uiPriority w:val="35"/>
    <w:unhideWhenUsed/>
    <w:qFormat/>
    <w:rsid w:val="00995380"/>
    <w:pPr>
      <w:widowControl w:val="0"/>
      <w:spacing w:before="0" w:after="200" w:line="240" w:lineRule="auto"/>
      <w:jc w:val="left"/>
    </w:pPr>
    <w:rPr>
      <w:rFonts w:asciiTheme="minorHAnsi" w:hAnsiTheme="minorHAnsi"/>
      <w:i/>
      <w:iCs/>
      <w:noProof/>
      <w:color w:val="44546A" w:themeColor="text2"/>
      <w:sz w:val="18"/>
      <w:szCs w:val="18"/>
    </w:rPr>
  </w:style>
  <w:style w:type="paragraph" w:customStyle="1" w:styleId="Default">
    <w:name w:val="Default"/>
    <w:rsid w:val="00995380"/>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995380"/>
  </w:style>
  <w:style w:type="paragraph" w:styleId="NormalWeb">
    <w:name w:val="Normal (Web)"/>
    <w:basedOn w:val="Normal"/>
    <w:uiPriority w:val="99"/>
    <w:unhideWhenUsed/>
    <w:rsid w:val="00995380"/>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995380"/>
    <w:rPr>
      <w:color w:val="800080"/>
      <w:u w:val="single"/>
    </w:rPr>
  </w:style>
  <w:style w:type="paragraph" w:customStyle="1" w:styleId="xl65">
    <w:name w:val="xl65"/>
    <w:basedOn w:val="Normal"/>
    <w:rsid w:val="00995380"/>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995380"/>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995380"/>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995380"/>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995380"/>
    <w:rPr>
      <w:noProof/>
      <w:lang w:val="es-ES"/>
    </w:rPr>
  </w:style>
  <w:style w:type="paragraph" w:customStyle="1" w:styleId="Texto">
    <w:name w:val="Texto"/>
    <w:basedOn w:val="Normal"/>
    <w:link w:val="TextoCar"/>
    <w:qFormat/>
    <w:rsid w:val="00995380"/>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995380"/>
    <w:rPr>
      <w:rFonts w:ascii="Arial" w:eastAsia="Times New Roman" w:hAnsi="Arial" w:cs="Arial"/>
      <w:sz w:val="18"/>
      <w:szCs w:val="20"/>
      <w:lang w:val="es-ES" w:eastAsia="es-ES"/>
    </w:rPr>
  </w:style>
  <w:style w:type="paragraph" w:customStyle="1" w:styleId="INCISO">
    <w:name w:val="INCISO"/>
    <w:basedOn w:val="Normal"/>
    <w:rsid w:val="00995380"/>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9953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953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99538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99538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95380"/>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995380"/>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995380"/>
    <w:rPr>
      <w:vertAlign w:val="superscript"/>
    </w:rPr>
  </w:style>
  <w:style w:type="paragraph" w:styleId="Textoindependiente3">
    <w:name w:val="Body Text 3"/>
    <w:basedOn w:val="Normal"/>
    <w:link w:val="Textoindependiente3Car"/>
    <w:rsid w:val="00995380"/>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995380"/>
    <w:rPr>
      <w:rFonts w:ascii="Arial" w:eastAsia="Times New Roman" w:hAnsi="Arial" w:cs="Times New Roman"/>
      <w:i/>
      <w:sz w:val="28"/>
      <w:szCs w:val="20"/>
      <w:lang w:val="es-ES" w:eastAsia="es-ES"/>
    </w:rPr>
  </w:style>
  <w:style w:type="paragraph" w:customStyle="1" w:styleId="Estndar">
    <w:name w:val="Estándar"/>
    <w:basedOn w:val="Normal"/>
    <w:link w:val="EstndarCar"/>
    <w:rsid w:val="00995380"/>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995380"/>
    <w:rPr>
      <w:rFonts w:ascii="TimesNewRomanPS" w:eastAsia="Times New Roman" w:hAnsi="TimesNewRomanPS" w:cs="Times New Roman"/>
      <w:noProof/>
      <w:sz w:val="20"/>
      <w:szCs w:val="20"/>
      <w:lang w:val="es-ES" w:eastAsia="es-ES"/>
    </w:rPr>
  </w:style>
  <w:style w:type="character" w:styleId="Nmerodepgina">
    <w:name w:val="page number"/>
    <w:basedOn w:val="Fuentedeprrafopredeter"/>
    <w:rsid w:val="00995380"/>
  </w:style>
  <w:style w:type="table" w:customStyle="1" w:styleId="TableGrid">
    <w:name w:val="TableGrid"/>
    <w:rsid w:val="00995380"/>
    <w:pPr>
      <w:spacing w:after="0" w:line="240" w:lineRule="auto"/>
    </w:pPr>
    <w:rPr>
      <w:rFonts w:eastAsiaTheme="minorEastAsia"/>
      <w:lang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995380"/>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995380"/>
    <w:rPr>
      <w:rFonts w:ascii="GalanoGrotesque-Light" w:eastAsia="Arial" w:hAnsi="GalanoGrotesque-Light"/>
      <w:noProof/>
      <w:sz w:val="24"/>
      <w:szCs w:val="24"/>
      <w:lang w:val="es-ES"/>
    </w:rPr>
  </w:style>
  <w:style w:type="paragraph" w:styleId="Revisin">
    <w:name w:val="Revision"/>
    <w:hidden/>
    <w:uiPriority w:val="99"/>
    <w:semiHidden/>
    <w:rsid w:val="00995380"/>
    <w:pPr>
      <w:spacing w:after="0" w:line="240" w:lineRule="auto"/>
    </w:pPr>
    <w:rPr>
      <w:rFonts w:ascii="GalanoGrotesque-Light" w:hAnsi="GalanoGrotesque-Light"/>
      <w:sz w:val="24"/>
      <w:szCs w:val="24"/>
    </w:rPr>
  </w:style>
  <w:style w:type="character" w:customStyle="1" w:styleId="Mencinsinresolver1">
    <w:name w:val="Mención sin resolver1"/>
    <w:basedOn w:val="Fuentedeprrafopredeter"/>
    <w:uiPriority w:val="99"/>
    <w:semiHidden/>
    <w:unhideWhenUsed/>
    <w:rsid w:val="00995380"/>
    <w:rPr>
      <w:color w:val="605E5C"/>
      <w:shd w:val="clear" w:color="auto" w:fill="E1DFDD"/>
    </w:rPr>
  </w:style>
  <w:style w:type="paragraph" w:customStyle="1" w:styleId="ANOTACION">
    <w:name w:val="ANOTACION"/>
    <w:basedOn w:val="Normal"/>
    <w:link w:val="ANOTACIONCar"/>
    <w:rsid w:val="00995380"/>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995380"/>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995380"/>
  </w:style>
  <w:style w:type="numbering" w:customStyle="1" w:styleId="Sinlista2">
    <w:name w:val="Sin lista2"/>
    <w:next w:val="Sinlista"/>
    <w:uiPriority w:val="99"/>
    <w:semiHidden/>
    <w:unhideWhenUsed/>
    <w:rsid w:val="00995380"/>
  </w:style>
  <w:style w:type="character" w:customStyle="1" w:styleId="PrrafodelistaCar">
    <w:name w:val="Párrafo de lista Car"/>
    <w:link w:val="Prrafodelista"/>
    <w:uiPriority w:val="34"/>
    <w:locked/>
    <w:rsid w:val="00995380"/>
    <w:rPr>
      <w:rFonts w:ascii="Times New Roman" w:eastAsia="Times New Roman" w:hAnsi="Times New Roman" w:cs="Times New Roman"/>
      <w:sz w:val="24"/>
      <w:szCs w:val="24"/>
      <w:lang w:val="en-US" w:eastAsia="es-MX"/>
    </w:rPr>
  </w:style>
  <w:style w:type="character" w:styleId="Textoennegrita">
    <w:name w:val="Strong"/>
    <w:basedOn w:val="Fuentedeprrafopredeter"/>
    <w:uiPriority w:val="22"/>
    <w:qFormat/>
    <w:rsid w:val="00995380"/>
    <w:rPr>
      <w:b/>
      <w:bCs/>
    </w:rPr>
  </w:style>
  <w:style w:type="numbering" w:customStyle="1" w:styleId="CtaPub1">
    <w:name w:val="CtaPub1"/>
    <w:uiPriority w:val="99"/>
    <w:rsid w:val="00995380"/>
  </w:style>
  <w:style w:type="numbering" w:customStyle="1" w:styleId="CtaPub2">
    <w:name w:val="CtaPub2"/>
    <w:uiPriority w:val="99"/>
    <w:rsid w:val="00995380"/>
  </w:style>
  <w:style w:type="table" w:customStyle="1" w:styleId="Tablaconcuadrcula4">
    <w:name w:val="Tabla con cuadrícula4"/>
    <w:basedOn w:val="Tablanormal"/>
    <w:next w:val="Tablaconcuadrcula"/>
    <w:uiPriority w:val="39"/>
    <w:rsid w:val="00995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841992">
      <w:bodyDiv w:val="1"/>
      <w:marLeft w:val="0"/>
      <w:marRight w:val="0"/>
      <w:marTop w:val="0"/>
      <w:marBottom w:val="0"/>
      <w:divBdr>
        <w:top w:val="none" w:sz="0" w:space="0" w:color="auto"/>
        <w:left w:val="none" w:sz="0" w:space="0" w:color="auto"/>
        <w:bottom w:val="none" w:sz="0" w:space="0" w:color="auto"/>
        <w:right w:val="none" w:sz="0" w:space="0" w:color="auto"/>
      </w:divBdr>
    </w:div>
    <w:div w:id="500853652">
      <w:bodyDiv w:val="1"/>
      <w:marLeft w:val="0"/>
      <w:marRight w:val="0"/>
      <w:marTop w:val="0"/>
      <w:marBottom w:val="0"/>
      <w:divBdr>
        <w:top w:val="none" w:sz="0" w:space="0" w:color="auto"/>
        <w:left w:val="none" w:sz="0" w:space="0" w:color="auto"/>
        <w:bottom w:val="none" w:sz="0" w:space="0" w:color="auto"/>
        <w:right w:val="none" w:sz="0" w:space="0" w:color="auto"/>
      </w:divBdr>
    </w:div>
    <w:div w:id="947812120">
      <w:bodyDiv w:val="1"/>
      <w:marLeft w:val="0"/>
      <w:marRight w:val="0"/>
      <w:marTop w:val="0"/>
      <w:marBottom w:val="0"/>
      <w:divBdr>
        <w:top w:val="none" w:sz="0" w:space="0" w:color="auto"/>
        <w:left w:val="none" w:sz="0" w:space="0" w:color="auto"/>
        <w:bottom w:val="none" w:sz="0" w:space="0" w:color="auto"/>
        <w:right w:val="none" w:sz="0" w:space="0" w:color="auto"/>
      </w:divBdr>
    </w:div>
    <w:div w:id="1157265163">
      <w:bodyDiv w:val="1"/>
      <w:marLeft w:val="0"/>
      <w:marRight w:val="0"/>
      <w:marTop w:val="0"/>
      <w:marBottom w:val="0"/>
      <w:divBdr>
        <w:top w:val="none" w:sz="0" w:space="0" w:color="auto"/>
        <w:left w:val="none" w:sz="0" w:space="0" w:color="auto"/>
        <w:bottom w:val="none" w:sz="0" w:space="0" w:color="auto"/>
        <w:right w:val="none" w:sz="0" w:space="0" w:color="auto"/>
      </w:divBdr>
    </w:div>
    <w:div w:id="180993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1.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F0782-A273-4680-8FC0-4F8DDBF3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13029</Words>
  <Characters>71664</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2025-08-13T21:18:00Z</dcterms:created>
  <dcterms:modified xsi:type="dcterms:W3CDTF">2025-08-13T21:18:00Z</dcterms:modified>
</cp:coreProperties>
</file>